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FC" w:rsidRPr="00984E15" w:rsidRDefault="00B65789" w:rsidP="00984E15">
      <w:pPr>
        <w:pStyle w:val="onvan"/>
      </w:pPr>
      <w:r>
        <w:t>Original Article</w:t>
      </w:r>
    </w:p>
    <w:p w:rsidR="00A067EF" w:rsidRPr="00330208" w:rsidRDefault="00365E5F" w:rsidP="00365E5F">
      <w:pPr>
        <w:pStyle w:val="Heading1"/>
      </w:pPr>
      <w:r w:rsidRPr="00365E5F">
        <w:t xml:space="preserve">Comparative study of two anesthesia methods according to postoperative </w:t>
      </w:r>
      <w:r w:rsidR="006E4F85">
        <w:br/>
      </w:r>
      <w:r w:rsidRPr="00365E5F">
        <w:t>complications and one month mortality rate in the candidates of hip surgery</w:t>
      </w:r>
    </w:p>
    <w:p w:rsidR="00AD63C0" w:rsidRPr="000B21FF" w:rsidRDefault="00AD63C0" w:rsidP="00AD63C0">
      <w:pPr>
        <w:pStyle w:val="Heading2"/>
        <w:rPr>
          <w:sz w:val="18"/>
          <w:szCs w:val="16"/>
        </w:rPr>
      </w:pPr>
    </w:p>
    <w:p w:rsidR="001A3302" w:rsidRPr="00516220" w:rsidRDefault="007C0A3C" w:rsidP="003D6738">
      <w:pPr>
        <w:pStyle w:val="Heading2"/>
      </w:pPr>
      <w:r w:rsidRPr="007C0A3C">
        <w:t>Saied Morteza Heidari</w:t>
      </w:r>
      <w:r w:rsidR="001A3302" w:rsidRPr="00516220">
        <w:rPr>
          <w:vertAlign w:val="superscript"/>
        </w:rPr>
        <w:t>a</w:t>
      </w:r>
      <w:r w:rsidR="001A3302" w:rsidRPr="00516220">
        <w:t xml:space="preserve">, </w:t>
      </w:r>
      <w:r w:rsidRPr="007C0A3C">
        <w:t>Hasanali Soltani</w:t>
      </w:r>
      <w:r w:rsidR="00516220" w:rsidRPr="00516220">
        <w:rPr>
          <w:vertAlign w:val="superscript"/>
        </w:rPr>
        <w:t>b</w:t>
      </w:r>
      <w:r w:rsidR="00516220" w:rsidRPr="00516220">
        <w:t xml:space="preserve">, </w:t>
      </w:r>
      <w:r w:rsidRPr="007C0A3C">
        <w:t>Saied Jalal Hashem</w:t>
      </w:r>
      <w:r w:rsidRPr="007C0A3C">
        <w:rPr>
          <w:b/>
        </w:rPr>
        <w:t>i</w:t>
      </w:r>
      <w:r w:rsidR="001A3302" w:rsidRPr="00516220">
        <w:rPr>
          <w:vertAlign w:val="superscript"/>
        </w:rPr>
        <w:t>b</w:t>
      </w:r>
      <w:r w:rsidR="001A3302" w:rsidRPr="00516220">
        <w:t>,</w:t>
      </w:r>
    </w:p>
    <w:p w:rsidR="00B93FFB" w:rsidRPr="00516220" w:rsidRDefault="007C0A3C" w:rsidP="00A640D9">
      <w:pPr>
        <w:pStyle w:val="Heading2"/>
        <w:rPr>
          <w:vertAlign w:val="superscript"/>
        </w:rPr>
      </w:pPr>
      <w:r w:rsidRPr="007C0A3C">
        <w:t>Reihanak Talakoub</w:t>
      </w:r>
      <w:r w:rsidR="003D6738" w:rsidRPr="00516220">
        <w:t>*</w:t>
      </w:r>
      <w:r w:rsidR="00A640D9">
        <w:rPr>
          <w:vertAlign w:val="superscript"/>
        </w:rPr>
        <w:t>a</w:t>
      </w:r>
      <w:r w:rsidR="001A3302" w:rsidRPr="00516220">
        <w:t xml:space="preserve">, </w:t>
      </w:r>
      <w:r w:rsidRPr="007C0A3C">
        <w:t>Bahram Soleimani</w:t>
      </w:r>
      <w:r w:rsidR="00A640D9">
        <w:rPr>
          <w:vertAlign w:val="superscript"/>
        </w:rPr>
        <w:t>c</w:t>
      </w:r>
    </w:p>
    <w:p w:rsidR="00B126AE" w:rsidRPr="00AD63C0" w:rsidRDefault="00B126AE" w:rsidP="00B126AE">
      <w:pPr>
        <w:rPr>
          <w:sz w:val="12"/>
          <w:szCs w:val="12"/>
          <w:lang w:bidi="fa-IR"/>
        </w:rPr>
      </w:pPr>
    </w:p>
    <w:p w:rsidR="001B58FC" w:rsidRDefault="001B58FC" w:rsidP="0068582B">
      <w:pPr>
        <w:pStyle w:val="Heading3"/>
        <w:bidi w:val="0"/>
      </w:pPr>
      <w:r w:rsidRPr="00EC3E8C">
        <w:t>A</w:t>
      </w:r>
      <w:r w:rsidR="00232162" w:rsidRPr="00EC3E8C">
        <w:t>bstract</w:t>
      </w:r>
    </w:p>
    <w:p w:rsidR="00B65789" w:rsidRDefault="00B65789" w:rsidP="007C0A3C">
      <w:pPr>
        <w:pStyle w:val="abst"/>
        <w:rPr>
          <w:lang w:eastAsia="ar-SA"/>
        </w:rPr>
      </w:pPr>
      <w:r w:rsidRPr="00F13F57">
        <w:rPr>
          <w:b/>
          <w:sz w:val="16"/>
          <w:szCs w:val="24"/>
        </w:rPr>
        <w:t>BACKGROUND:</w:t>
      </w:r>
      <w:r w:rsidRPr="0055075A">
        <w:rPr>
          <w:b/>
        </w:rPr>
        <w:t xml:space="preserve"> </w:t>
      </w:r>
      <w:r w:rsidR="007C0A3C" w:rsidRPr="007C0A3C">
        <w:rPr>
          <w:lang w:bidi="fa-IR"/>
        </w:rPr>
        <w:t>Surgery for hip fractures can be done under general or neuraxial anesthesia. This study aimed to co</w:t>
      </w:r>
      <w:r w:rsidR="007C0A3C" w:rsidRPr="007C0A3C">
        <w:rPr>
          <w:lang w:bidi="fa-IR"/>
        </w:rPr>
        <w:t>m</w:t>
      </w:r>
      <w:r w:rsidR="007C0A3C" w:rsidRPr="007C0A3C">
        <w:rPr>
          <w:lang w:bidi="fa-IR"/>
        </w:rPr>
        <w:t>pare these two methods concerning their postoperative complications, duration of operation, hospitalization and the mortality rate within a period of one month after surgery.</w:t>
      </w:r>
    </w:p>
    <w:p w:rsidR="00B65789" w:rsidRDefault="00B65789" w:rsidP="00A640D9">
      <w:pPr>
        <w:pStyle w:val="abst"/>
        <w:rPr>
          <w:lang w:eastAsia="ar-SA"/>
        </w:rPr>
      </w:pPr>
      <w:r w:rsidRPr="003C03BD">
        <w:rPr>
          <w:b/>
          <w:sz w:val="16"/>
          <w:szCs w:val="16"/>
          <w:lang w:eastAsia="ar-SA"/>
        </w:rPr>
        <w:t>METHODS:</w:t>
      </w:r>
      <w:r w:rsidRPr="003C03BD">
        <w:rPr>
          <w:b/>
          <w:sz w:val="16"/>
          <w:szCs w:val="16"/>
        </w:rPr>
        <w:t xml:space="preserve"> </w:t>
      </w:r>
      <w:r w:rsidR="00AA7F37" w:rsidRPr="00AA7F37">
        <w:rPr>
          <w:lang w:bidi="fa-IR"/>
        </w:rPr>
        <w:t xml:space="preserve">400 patients aged more than </w:t>
      </w:r>
      <w:r w:rsidR="00A640D9">
        <w:rPr>
          <w:lang w:bidi="fa-IR"/>
        </w:rPr>
        <w:t>30</w:t>
      </w:r>
      <w:r w:rsidR="00AA7F37" w:rsidRPr="00AA7F37">
        <w:rPr>
          <w:lang w:bidi="fa-IR"/>
        </w:rPr>
        <w:t xml:space="preserve"> years old and scheduled for elective operative fixation of fractured hip, ra</w:t>
      </w:r>
      <w:r w:rsidR="00AA7F37" w:rsidRPr="00AA7F37">
        <w:rPr>
          <w:lang w:bidi="fa-IR"/>
        </w:rPr>
        <w:t>n</w:t>
      </w:r>
      <w:r w:rsidR="00AA7F37" w:rsidRPr="00AA7F37">
        <w:rPr>
          <w:lang w:bidi="fa-IR"/>
        </w:rPr>
        <w:t>domly enrolled in two equal groups of general (GA) and neuraxial (NA) anesthesia. Hemoglobin level was measured before and 6 hours, 2, 3 and 5 days after the surgery. The intra and postoperative blood loss, duration of surgery, the severity of pain at the time of discharge from recovery and at the 2</w:t>
      </w:r>
      <w:r w:rsidR="00AA7F37" w:rsidRPr="00AA7F37">
        <w:rPr>
          <w:vertAlign w:val="superscript"/>
          <w:lang w:bidi="fa-IR"/>
        </w:rPr>
        <w:t>nd</w:t>
      </w:r>
      <w:r w:rsidR="00AA7F37" w:rsidRPr="00AA7F37">
        <w:rPr>
          <w:lang w:bidi="fa-IR"/>
        </w:rPr>
        <w:t>, 3</w:t>
      </w:r>
      <w:r w:rsidR="00AA7F37" w:rsidRPr="00AA7F37">
        <w:rPr>
          <w:vertAlign w:val="superscript"/>
          <w:lang w:bidi="fa-IR"/>
        </w:rPr>
        <w:t>rd</w:t>
      </w:r>
      <w:r w:rsidR="00AA7F37" w:rsidRPr="00AA7F37">
        <w:rPr>
          <w:lang w:bidi="fa-IR"/>
        </w:rPr>
        <w:t xml:space="preserve"> and 5</w:t>
      </w:r>
      <w:r w:rsidR="00AA7F37" w:rsidRPr="00AA7F37">
        <w:rPr>
          <w:vertAlign w:val="superscript"/>
          <w:lang w:bidi="fa-IR"/>
        </w:rPr>
        <w:t>th</w:t>
      </w:r>
      <w:r w:rsidR="00AA7F37" w:rsidRPr="00AA7F37">
        <w:rPr>
          <w:lang w:bidi="fa-IR"/>
        </w:rPr>
        <w:t xml:space="preserve"> postoperative days were recorded. St</w:t>
      </w:r>
      <w:r w:rsidR="00AA7F37" w:rsidRPr="00AA7F37">
        <w:rPr>
          <w:lang w:bidi="fa-IR"/>
        </w:rPr>
        <w:t>a</w:t>
      </w:r>
      <w:r w:rsidR="00AA7F37" w:rsidRPr="00AA7F37">
        <w:rPr>
          <w:lang w:bidi="fa-IR"/>
        </w:rPr>
        <w:t>tistical analysis was performed using SPSS version 12.0 by Mann-Whitney, chi-square, and t tests. P &lt; 0.05 was cons</w:t>
      </w:r>
      <w:r w:rsidR="00AA7F37" w:rsidRPr="00AA7F37">
        <w:rPr>
          <w:lang w:bidi="fa-IR"/>
        </w:rPr>
        <w:t>i</w:t>
      </w:r>
      <w:r w:rsidR="00AA7F37" w:rsidRPr="00AA7F37">
        <w:rPr>
          <w:lang w:bidi="fa-IR"/>
        </w:rPr>
        <w:t>dered significant.</w:t>
      </w:r>
    </w:p>
    <w:p w:rsidR="00B65789" w:rsidRDefault="00B65789" w:rsidP="00AA7F37">
      <w:pPr>
        <w:pStyle w:val="abst"/>
        <w:rPr>
          <w:lang w:eastAsia="ar-SA"/>
        </w:rPr>
      </w:pPr>
      <w:r w:rsidRPr="00F13F57">
        <w:rPr>
          <w:b/>
          <w:sz w:val="16"/>
          <w:szCs w:val="24"/>
          <w:lang w:eastAsia="ar-SA"/>
        </w:rPr>
        <w:t>RESULTS:</w:t>
      </w:r>
      <w:r>
        <w:t xml:space="preserve"> </w:t>
      </w:r>
      <w:r w:rsidR="00AA7F37" w:rsidRPr="00AA7F37">
        <w:rPr>
          <w:lang w:bidi="fa-IR"/>
        </w:rPr>
        <w:t>Both groups were similar regarding age, weight, and gender ratio. There was no significant difference in baseline hemoglobin, duration of surgery, length of hospitalization before surgery and the type of surgery. The mean of intraoperative blood loss and visual analogue score (VAS) in recovery and at the 3</w:t>
      </w:r>
      <w:r w:rsidR="00AA7F37" w:rsidRPr="00AA7F37">
        <w:rPr>
          <w:vertAlign w:val="superscript"/>
          <w:lang w:bidi="fa-IR"/>
        </w:rPr>
        <w:t>rd</w:t>
      </w:r>
      <w:r w:rsidR="00AA7F37" w:rsidRPr="00AA7F37">
        <w:rPr>
          <w:lang w:bidi="fa-IR"/>
        </w:rPr>
        <w:t xml:space="preserve"> postoperative day, and also the length of hospitalization after surgery were significantly less in neuraxial anesthesia group. Both groups showed a si</w:t>
      </w:r>
      <w:r w:rsidR="00AA7F37" w:rsidRPr="00AA7F37">
        <w:rPr>
          <w:lang w:bidi="fa-IR"/>
        </w:rPr>
        <w:t>g</w:t>
      </w:r>
      <w:r w:rsidR="00AA7F37" w:rsidRPr="00AA7F37">
        <w:rPr>
          <w:lang w:bidi="fa-IR"/>
        </w:rPr>
        <w:t>nificant decrease in hemoglobin values on the 2</w:t>
      </w:r>
      <w:r w:rsidR="00AA7F37" w:rsidRPr="00AA7F37">
        <w:rPr>
          <w:vertAlign w:val="superscript"/>
          <w:lang w:bidi="fa-IR"/>
        </w:rPr>
        <w:t>nd</w:t>
      </w:r>
      <w:r w:rsidR="00AA7F37" w:rsidRPr="00AA7F37">
        <w:rPr>
          <w:lang w:bidi="fa-IR"/>
        </w:rPr>
        <w:t xml:space="preserve"> and 3</w:t>
      </w:r>
      <w:r w:rsidR="00AA7F37" w:rsidRPr="00AA7F37">
        <w:rPr>
          <w:vertAlign w:val="superscript"/>
          <w:lang w:bidi="fa-IR"/>
        </w:rPr>
        <w:t>rd</w:t>
      </w:r>
      <w:r w:rsidR="00AA7F37" w:rsidRPr="00AA7F37">
        <w:rPr>
          <w:lang w:bidi="fa-IR"/>
        </w:rPr>
        <w:t xml:space="preserve"> postoperative days comparing to the baseline (p &lt; 0.001).</w:t>
      </w:r>
    </w:p>
    <w:p w:rsidR="00B65789" w:rsidRDefault="00B65789" w:rsidP="00AA7F37">
      <w:pPr>
        <w:pStyle w:val="abst"/>
        <w:rPr>
          <w:lang w:eastAsia="ar-SA"/>
        </w:rPr>
      </w:pPr>
      <w:r w:rsidRPr="005D340E">
        <w:rPr>
          <w:b/>
          <w:sz w:val="16"/>
          <w:szCs w:val="16"/>
          <w:lang w:eastAsia="ar-SA"/>
        </w:rPr>
        <w:t>CONCLUSIONS:</w:t>
      </w:r>
      <w:r w:rsidRPr="005D340E">
        <w:rPr>
          <w:b/>
          <w:sz w:val="16"/>
          <w:szCs w:val="16"/>
        </w:rPr>
        <w:t xml:space="preserve"> </w:t>
      </w:r>
      <w:r w:rsidR="00AA7F37" w:rsidRPr="00AA7F37">
        <w:rPr>
          <w:lang w:bidi="fa-IR"/>
        </w:rPr>
        <w:t>The morbidity and mortality rates of patients undergoing hip surgery were similar in both methods of anesthesia, but postoperative pain, blood loss, and duration of hospitalization were more in patients undergoing general anesthesia.</w:t>
      </w:r>
    </w:p>
    <w:p w:rsidR="00F404C2" w:rsidRPr="00F404C2" w:rsidRDefault="00B65789" w:rsidP="00A640D9">
      <w:pPr>
        <w:pStyle w:val="abst"/>
      </w:pPr>
      <w:r w:rsidRPr="005D340E">
        <w:rPr>
          <w:b/>
          <w:sz w:val="16"/>
          <w:szCs w:val="16"/>
          <w:lang w:eastAsia="ar-SA"/>
        </w:rPr>
        <w:t xml:space="preserve">KEYWORDS: </w:t>
      </w:r>
      <w:r w:rsidR="00A640D9" w:rsidRPr="00A640D9">
        <w:rPr>
          <w:lang w:bidi="fa-IR"/>
        </w:rPr>
        <w:t xml:space="preserve">General anesthesia, </w:t>
      </w:r>
      <w:r w:rsidR="00A640D9">
        <w:rPr>
          <w:lang w:bidi="fa-IR"/>
        </w:rPr>
        <w:t>N</w:t>
      </w:r>
      <w:r w:rsidR="00A640D9" w:rsidRPr="00A640D9">
        <w:rPr>
          <w:lang w:bidi="fa-IR"/>
        </w:rPr>
        <w:t xml:space="preserve">euraxial Anesthesia, </w:t>
      </w:r>
      <w:r w:rsidR="00AA7F37" w:rsidRPr="00AA7F37">
        <w:rPr>
          <w:lang w:bidi="fa-IR"/>
        </w:rPr>
        <w:t>Hip Fractures, Morbidity, Mortality.</w:t>
      </w:r>
    </w:p>
    <w:p w:rsidR="0085038A" w:rsidRDefault="0085038A" w:rsidP="00345ADF">
      <w:pPr>
        <w:pStyle w:val="seri"/>
      </w:pPr>
    </w:p>
    <w:p w:rsidR="009E6955" w:rsidRDefault="009E6955" w:rsidP="00B31435">
      <w:pPr>
        <w:pStyle w:val="seri"/>
      </w:pPr>
      <w:r>
        <w:t>JRMS 20</w:t>
      </w:r>
      <w:r w:rsidR="00B93FFB">
        <w:t>1</w:t>
      </w:r>
      <w:r w:rsidR="00AA464B">
        <w:t>1</w:t>
      </w:r>
      <w:r>
        <w:t xml:space="preserve">; </w:t>
      </w:r>
      <w:r w:rsidR="00AA464B">
        <w:t>16</w:t>
      </w:r>
      <w:r w:rsidRPr="006468A9">
        <w:t>(</w:t>
      </w:r>
      <w:r w:rsidR="006468A9">
        <w:t>3</w:t>
      </w:r>
      <w:r w:rsidRPr="006468A9">
        <w:t>):</w:t>
      </w:r>
      <w:r>
        <w:t xml:space="preserve"> </w:t>
      </w:r>
      <w:r w:rsidR="00B31435">
        <w:t>323</w:t>
      </w:r>
      <w:r w:rsidR="006468A9">
        <w:t>-</w:t>
      </w:r>
      <w:r w:rsidR="00B31435">
        <w:t>330</w:t>
      </w:r>
    </w:p>
    <w:p w:rsidR="00F13F57" w:rsidRPr="00322F1E" w:rsidRDefault="00F13F57" w:rsidP="00322F1E">
      <w:pPr>
        <w:pStyle w:val="matn"/>
      </w:pPr>
    </w:p>
    <w:p w:rsidR="00322F1E" w:rsidRDefault="00322F1E" w:rsidP="00385D44">
      <w:pPr>
        <w:pStyle w:val="BodyText"/>
        <w:spacing w:line="480" w:lineRule="auto"/>
        <w:jc w:val="lowKashida"/>
        <w:rPr>
          <w:lang w:bidi="fa-IR"/>
        </w:rPr>
        <w:sectPr w:rsidR="00322F1E" w:rsidSect="00B3143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814" w:right="1134" w:bottom="1701" w:left="1134" w:header="1247" w:footer="1247" w:gutter="0"/>
          <w:pgNumType w:start="323"/>
          <w:cols w:space="720"/>
          <w:titlePg/>
          <w:docGrid w:linePitch="360"/>
        </w:sectPr>
      </w:pPr>
    </w:p>
    <w:p w:rsidR="00F70B97" w:rsidRPr="00F70B97" w:rsidRDefault="00124AEA" w:rsidP="00F70B97">
      <w:pPr>
        <w:pStyle w:val="matn"/>
        <w:keepNext/>
        <w:framePr w:dropCap="drop" w:lines="3" w:wrap="around" w:vAnchor="text" w:hAnchor="text"/>
        <w:spacing w:line="820" w:lineRule="exact"/>
        <w:textAlignment w:val="baseline"/>
        <w:rPr>
          <w:position w:val="-9"/>
          <w:sz w:val="100"/>
          <w:szCs w:val="100"/>
        </w:rPr>
      </w:pPr>
      <w:r>
        <w:rPr>
          <w:position w:val="-9"/>
          <w:sz w:val="100"/>
          <w:szCs w:val="100"/>
        </w:rPr>
        <w:t>H</w:t>
      </w:r>
    </w:p>
    <w:p w:rsidR="00124AEA" w:rsidRPr="00124AEA" w:rsidRDefault="00124AEA" w:rsidP="00124AEA">
      <w:pPr>
        <w:pStyle w:val="matn"/>
      </w:pPr>
      <w:r w:rsidRPr="00124AEA">
        <w:t>ip fracture is a common challenging concept especially in the elders.</w:t>
      </w:r>
      <w:r w:rsidRPr="00124AEA">
        <w:rPr>
          <w:vertAlign w:val="superscript"/>
        </w:rPr>
        <w:t>1</w:t>
      </w:r>
      <w:r w:rsidRPr="00124AEA">
        <w:t xml:space="preserve"> Moreover, the patients who are sch</w:t>
      </w:r>
      <w:r w:rsidRPr="00124AEA">
        <w:t>e</w:t>
      </w:r>
      <w:r w:rsidRPr="00124AEA">
        <w:t>duled for hip replacement surgery, usually have a high incidence of complications affect on morbidity and surgery costs.</w:t>
      </w:r>
      <w:r w:rsidRPr="00124AEA">
        <w:rPr>
          <w:vertAlign w:val="superscript"/>
        </w:rPr>
        <w:t>2</w:t>
      </w:r>
      <w:r w:rsidRPr="00124AEA">
        <w:t xml:space="preserve"> </w:t>
      </w:r>
    </w:p>
    <w:p w:rsidR="00124AEA" w:rsidRPr="00124AEA" w:rsidRDefault="001D3C45" w:rsidP="001D3C45">
      <w:pPr>
        <w:pStyle w:val="matn"/>
        <w:rPr>
          <w:vertAlign w:val="superscript"/>
        </w:rPr>
      </w:pPr>
      <w:r w:rsidRPr="001D3C45">
        <w:tab/>
      </w:r>
      <w:r w:rsidR="00124AEA" w:rsidRPr="00124AEA">
        <w:t>Hip fracture operations can be performed under general or neuraxial anesthesia.</w:t>
      </w:r>
      <w:r w:rsidR="00124AEA" w:rsidRPr="00124AEA">
        <w:rPr>
          <w:vertAlign w:val="superscript"/>
        </w:rPr>
        <w:t>1,3,4</w:t>
      </w:r>
      <w:r w:rsidR="00124AEA" w:rsidRPr="00124AEA">
        <w:t xml:space="preserve"> Over the past decades, these two methods of ane</w:t>
      </w:r>
      <w:r w:rsidR="00124AEA" w:rsidRPr="00124AEA">
        <w:t>s</w:t>
      </w:r>
      <w:r w:rsidR="00124AEA" w:rsidRPr="00124AEA">
        <w:t xml:space="preserve">thesia for hip surgery have been compared </w:t>
      </w:r>
      <w:r w:rsidR="00124AEA" w:rsidRPr="00124AEA">
        <w:lastRenderedPageBreak/>
        <w:t>concerning their complications during and a</w:t>
      </w:r>
      <w:r w:rsidR="00124AEA" w:rsidRPr="00124AEA">
        <w:t>f</w:t>
      </w:r>
      <w:r w:rsidR="00124AEA" w:rsidRPr="00124AEA">
        <w:t>ter the surgery. Some studies mentioned the superiority of neuraxial anesthesia to general anesthesia in operative fixation of fractured hip in elderly.</w:t>
      </w:r>
      <w:r w:rsidR="00124AEA" w:rsidRPr="00124AEA">
        <w:rPr>
          <w:vertAlign w:val="superscript"/>
        </w:rPr>
        <w:t>5</w:t>
      </w:r>
      <w:r w:rsidR="00124AEA" w:rsidRPr="00124AEA">
        <w:t xml:space="preserve"> A retrospective meta-analysis demonstrated that incidence of deep vein thrombosis (DVT), myocardial infarction, h</w:t>
      </w:r>
      <w:r w:rsidR="00124AEA" w:rsidRPr="00124AEA">
        <w:t>y</w:t>
      </w:r>
      <w:r w:rsidR="00124AEA" w:rsidRPr="00124AEA">
        <w:t>poxia, and mortality in a period of one month after surgery was lower in patients undergoing neuraxial anesthesia for fractured hip reco</w:t>
      </w:r>
      <w:r w:rsidR="00124AEA" w:rsidRPr="00124AEA">
        <w:t>n</w:t>
      </w:r>
      <w:r w:rsidR="00124AEA" w:rsidRPr="00124AEA">
        <w:lastRenderedPageBreak/>
        <w:t>struction; while in patients receiving general anesthesia, the incidence of cerebrovascular accidents and the duration of operation was lower.</w:t>
      </w:r>
      <w:r w:rsidR="00124AEA" w:rsidRPr="00124AEA">
        <w:rPr>
          <w:vertAlign w:val="superscript"/>
        </w:rPr>
        <w:t>1</w:t>
      </w:r>
      <w:r w:rsidR="00124AEA" w:rsidRPr="00124AEA">
        <w:t xml:space="preserve"> Another retrospective study showed that the neuraxial anesthesia in arthroplasty of hip and knee have a slight protective effect against the thromboembolic events </w:t>
      </w:r>
      <w:r w:rsidR="00124AEA" w:rsidRPr="00124AEA">
        <w:rPr>
          <w:vertAlign w:val="superscript"/>
        </w:rPr>
        <w:t>6</w:t>
      </w:r>
      <w:r w:rsidR="00124AEA" w:rsidRPr="00124AEA">
        <w:t>; but, some others could not demonstrate a significant di</w:t>
      </w:r>
      <w:r w:rsidR="00124AEA" w:rsidRPr="00124AEA">
        <w:t>f</w:t>
      </w:r>
      <w:r w:rsidR="00124AEA" w:rsidRPr="00124AEA">
        <w:t>ference in mortality of patients undergoing fi</w:t>
      </w:r>
      <w:r w:rsidR="00124AEA" w:rsidRPr="00124AEA">
        <w:t>x</w:t>
      </w:r>
      <w:r w:rsidR="00124AEA" w:rsidRPr="00124AEA">
        <w:t>ation of traumatic fractured hip.</w:t>
      </w:r>
      <w:r w:rsidR="00124AEA" w:rsidRPr="00124AEA">
        <w:rPr>
          <w:vertAlign w:val="superscript"/>
        </w:rPr>
        <w:t>7-10</w:t>
      </w:r>
    </w:p>
    <w:p w:rsidR="00322F1E" w:rsidRPr="009A34FE" w:rsidRDefault="00124AEA" w:rsidP="00124AEA">
      <w:pPr>
        <w:pStyle w:val="matn"/>
      </w:pPr>
      <w:r w:rsidRPr="00124AEA">
        <w:t>Based on the fact that there were some defects in evaluation and comparing of complications and mortality of patients undergoing fixation of fractured hip, this study was designed to compare the two methods of general and ne</w:t>
      </w:r>
      <w:r w:rsidRPr="00124AEA">
        <w:t>u</w:t>
      </w:r>
      <w:r w:rsidRPr="00124AEA">
        <w:t>raxial anesthesia completely.</w:t>
      </w:r>
    </w:p>
    <w:p w:rsidR="00322F1E" w:rsidRPr="005650A9" w:rsidRDefault="00322F1E" w:rsidP="00E646F7">
      <w:pPr>
        <w:pStyle w:val="Heading3"/>
        <w:bidi w:val="0"/>
      </w:pPr>
      <w:r w:rsidRPr="005650A9">
        <w:t>Methods</w:t>
      </w:r>
    </w:p>
    <w:p w:rsidR="00124AEA" w:rsidRPr="00E97607" w:rsidRDefault="00124AEA" w:rsidP="00124AEA">
      <w:pPr>
        <w:pStyle w:val="matn"/>
      </w:pPr>
      <w:r w:rsidRPr="00E97607">
        <w:t>In this prospective clinical trial, 400 patients older than 30 years old (in class 1, 2, and 3 of American Society of Anesthesiologists classif</w:t>
      </w:r>
      <w:r w:rsidRPr="00E97607">
        <w:t>i</w:t>
      </w:r>
      <w:r w:rsidRPr="00E97607">
        <w:t>cation) who were scheduled for elective oper</w:t>
      </w:r>
      <w:r w:rsidRPr="00E97607">
        <w:t>a</w:t>
      </w:r>
      <w:r w:rsidRPr="00E97607">
        <w:t>tive fixation of fractured hip, enrolled; all of them were admitted in Al-Zahra and Kashani Hospitals in Isfahan and all of them signed i</w:t>
      </w:r>
      <w:r w:rsidRPr="00E97607">
        <w:t>n</w:t>
      </w:r>
      <w:r w:rsidRPr="00E97607">
        <w:t>formed consent from. This study was a</w:t>
      </w:r>
      <w:r w:rsidRPr="00E97607">
        <w:t>p</w:t>
      </w:r>
      <w:r w:rsidRPr="00E97607">
        <w:t xml:space="preserve">proved by the Ethics Committee of Isfahan University of Medical Sciences. </w:t>
      </w:r>
    </w:p>
    <w:p w:rsidR="00124AEA" w:rsidRPr="00E97607" w:rsidRDefault="001D3C45" w:rsidP="001D3C45">
      <w:pPr>
        <w:pStyle w:val="matn"/>
      </w:pPr>
      <w:r w:rsidRPr="001D3C45">
        <w:tab/>
      </w:r>
      <w:r w:rsidR="00124AEA" w:rsidRPr="00E97607">
        <w:t>Patients were included if they had no d</w:t>
      </w:r>
      <w:r w:rsidR="00124AEA" w:rsidRPr="00E97607">
        <w:t>e</w:t>
      </w:r>
      <w:r w:rsidR="00124AEA" w:rsidRPr="00E97607">
        <w:t>mentia or cognitive dysfunctions and no hist</w:t>
      </w:r>
      <w:r w:rsidR="00124AEA" w:rsidRPr="00E97607">
        <w:t>o</w:t>
      </w:r>
      <w:r w:rsidR="00124AEA" w:rsidRPr="00E97607">
        <w:t>ry of opioid or psychotic drugs use. Patients with hypersensitivity to blood transfusion, sever reaction to cement implantation, sever bleeding, hypotension needed interventions, prolonged operation changed surgical plan which impressed the study goals, were e</w:t>
      </w:r>
      <w:r w:rsidR="00124AEA" w:rsidRPr="00E97607">
        <w:t>x</w:t>
      </w:r>
      <w:r w:rsidR="00124AEA" w:rsidRPr="00E97607">
        <w:t xml:space="preserve">cluded. </w:t>
      </w:r>
    </w:p>
    <w:p w:rsidR="00124AEA" w:rsidRPr="00E97607" w:rsidRDefault="00A94C25" w:rsidP="00A94C25">
      <w:pPr>
        <w:pStyle w:val="matn"/>
      </w:pPr>
      <w:r w:rsidRPr="00A94C25">
        <w:tab/>
      </w:r>
      <w:r w:rsidR="00124AEA" w:rsidRPr="00E97607">
        <w:t>An anesthesiologist visited all the patients a night before surgery and any known history of hematologic, endocrine, cardiovascular, pu</w:t>
      </w:r>
      <w:r w:rsidR="00124AEA" w:rsidRPr="00E97607">
        <w:t>l</w:t>
      </w:r>
      <w:r w:rsidR="00124AEA" w:rsidRPr="00E97607">
        <w:t>monary, and central nervous system diseases were noted. Also, systolic, diastolic, and mean arterial pressures were recorded.</w:t>
      </w:r>
    </w:p>
    <w:p w:rsidR="00124AEA" w:rsidRPr="00E97607" w:rsidRDefault="00A94C25" w:rsidP="00A94C25">
      <w:pPr>
        <w:pStyle w:val="matn"/>
      </w:pPr>
      <w:r w:rsidRPr="00A94C25">
        <w:tab/>
      </w:r>
      <w:r w:rsidR="00124AEA" w:rsidRPr="00E97607">
        <w:t>Patients were randomly assigned into two groups using random-number table: GA (ge</w:t>
      </w:r>
      <w:r w:rsidR="00124AEA" w:rsidRPr="00E97607">
        <w:t>n</w:t>
      </w:r>
      <w:r w:rsidR="00124AEA" w:rsidRPr="00E97607">
        <w:t>eral anesthesia) and NA (neuraxial anesthesia). All patients were infused Ringer's lactate sol</w:t>
      </w:r>
      <w:r w:rsidR="00124AEA" w:rsidRPr="00E97607">
        <w:t>u</w:t>
      </w:r>
      <w:r w:rsidR="00124AEA" w:rsidRPr="00E97607">
        <w:t xml:space="preserve">tion (4 ml/kg) on arrival in the operating room </w:t>
      </w:r>
      <w:r w:rsidR="00124AEA" w:rsidRPr="00E97607">
        <w:lastRenderedPageBreak/>
        <w:t>and also received low dose of heparin as a DVT prophylaxis. Systolic, diastolic, and mean arterial pressures were recorded before indu</w:t>
      </w:r>
      <w:r w:rsidR="00124AEA" w:rsidRPr="00E97607">
        <w:t>c</w:t>
      </w:r>
      <w:r w:rsidR="00124AEA" w:rsidRPr="00E97607">
        <w:t>tion of anesthesia by anesthesiologist.</w:t>
      </w:r>
    </w:p>
    <w:p w:rsidR="00124AEA" w:rsidRPr="00E97607" w:rsidRDefault="00A94C25" w:rsidP="00A640D9">
      <w:pPr>
        <w:pStyle w:val="matn"/>
      </w:pPr>
      <w:r w:rsidRPr="00A94C25">
        <w:tab/>
      </w:r>
      <w:r w:rsidR="00124AEA" w:rsidRPr="00E97607">
        <w:t>In the GA group, patients were given Ri</w:t>
      </w:r>
      <w:r w:rsidR="00124AEA" w:rsidRPr="00E97607">
        <w:t>n</w:t>
      </w:r>
      <w:r w:rsidR="00124AEA" w:rsidRPr="00E97607">
        <w:t>ger's lactate solution (10 ml/kg) to oppose the vasodilatation and hypotension resulting from intravenous anesthetics during induction of anesthesia. Patients were not pre-medicated. They received a standardized general anesth</w:t>
      </w:r>
      <w:r w:rsidR="00124AEA" w:rsidRPr="00E97607">
        <w:t>e</w:t>
      </w:r>
      <w:r w:rsidR="00124AEA" w:rsidRPr="00E97607">
        <w:t>sia involving pre-oxygenation and induction with fentanyl (2 µg/kg) followed by thiopental (5 mg/kg) until loss of consciousness; then l</w:t>
      </w:r>
      <w:r w:rsidR="00124AEA" w:rsidRPr="00E97607">
        <w:t>i</w:t>
      </w:r>
      <w:r w:rsidR="00124AEA" w:rsidRPr="00E97607">
        <w:t>docaine (1.5 mg/kg) and pancuronium (0.1 mg/kg) were administered. Anesthesia was maintained using halothane (0.5-1.5%) in ox</w:t>
      </w:r>
      <w:r w:rsidR="00124AEA" w:rsidRPr="00E97607">
        <w:t>y</w:t>
      </w:r>
      <w:r w:rsidR="00124AEA" w:rsidRPr="00E97607">
        <w:t>gen and nitrous oxide (ratio 1:1). Mechanical ventilation with a constant tidal volume of 10 ml/kg and respiratory rate of 12 per minute was maintained throughout the study. At the end of the operation, the volatile anesthetic agents were discontinued and residual neur</w:t>
      </w:r>
      <w:r w:rsidR="00124AEA" w:rsidRPr="00E97607">
        <w:t>o</w:t>
      </w:r>
      <w:r w:rsidR="00124AEA" w:rsidRPr="00E97607">
        <w:t>muscular block was antagonized with intr</w:t>
      </w:r>
      <w:r w:rsidR="00124AEA" w:rsidRPr="00E97607">
        <w:t>a</w:t>
      </w:r>
      <w:r w:rsidR="00124AEA" w:rsidRPr="00E97607">
        <w:t>venous prostigmin (0.04 mg/kg) and atropine (0.0</w:t>
      </w:r>
      <w:r w:rsidR="00A640D9">
        <w:t>2</w:t>
      </w:r>
      <w:r w:rsidR="00124AEA" w:rsidRPr="00E97607">
        <w:t xml:space="preserve"> mg/kg). The lungs were ventilated m</w:t>
      </w:r>
      <w:r w:rsidR="00124AEA" w:rsidRPr="00E97607">
        <w:t>a</w:t>
      </w:r>
      <w:r w:rsidR="00124AEA" w:rsidRPr="00E97607">
        <w:t>nually with 100% oxygen until spontaneous ventilation resumed. Extubation was pe</w:t>
      </w:r>
      <w:r w:rsidR="00124AEA" w:rsidRPr="00E97607">
        <w:t>r</w:t>
      </w:r>
      <w:r w:rsidR="00124AEA" w:rsidRPr="00E97607">
        <w:t>formed when the patient was judged to be awake.</w:t>
      </w:r>
    </w:p>
    <w:p w:rsidR="00124AEA" w:rsidRPr="00E97607" w:rsidRDefault="00A94C25" w:rsidP="00A640D9">
      <w:pPr>
        <w:pStyle w:val="matn"/>
      </w:pPr>
      <w:r w:rsidRPr="00A94C25">
        <w:tab/>
      </w:r>
      <w:r w:rsidR="00124AEA" w:rsidRPr="00E97607">
        <w:t>In the NA group, patients were given Ri</w:t>
      </w:r>
      <w:r w:rsidR="00124AEA" w:rsidRPr="00E97607">
        <w:t>n</w:t>
      </w:r>
      <w:r w:rsidR="00124AEA" w:rsidRPr="00E97607">
        <w:t>ger's lactate solution (15 ml/kg) prior to the induction of anesthesia and received either spinal or epidural anesthesia. After sterile preparation and draping, in spinal anesthesia group, plain bupivacaine 0.5% (3 ml) was i</w:t>
      </w:r>
      <w:r w:rsidR="00124AEA" w:rsidRPr="00E97607">
        <w:t>n</w:t>
      </w:r>
      <w:r w:rsidR="00124AEA" w:rsidRPr="00E97607">
        <w:t>jected over 10 seconds into the subarachnoid space at the L3-L4 interspace via 23-G With</w:t>
      </w:r>
      <w:r w:rsidR="00124AEA" w:rsidRPr="00E97607">
        <w:t>a</w:t>
      </w:r>
      <w:r w:rsidR="00124AEA" w:rsidRPr="00E97607">
        <w:t>cre needle placed midline approach. In the epidural group, anesthesia was performed u</w:t>
      </w:r>
      <w:r w:rsidR="00124AEA" w:rsidRPr="00E97607">
        <w:t>s</w:t>
      </w:r>
      <w:r w:rsidR="00124AEA" w:rsidRPr="00E97607">
        <w:t>ing an 18-G-Touhy needle at the L3-L4 inte</w:t>
      </w:r>
      <w:r w:rsidR="00124AEA" w:rsidRPr="00E97607">
        <w:t>r</w:t>
      </w:r>
      <w:r w:rsidR="00124AEA" w:rsidRPr="00E97607">
        <w:t>space and after an initial test dose of plain b</w:t>
      </w:r>
      <w:r w:rsidR="00124AEA" w:rsidRPr="00E97607">
        <w:t>u</w:t>
      </w:r>
      <w:r w:rsidR="00124AEA" w:rsidRPr="00E97607">
        <w:t>pivacaine 0.5% (5 ml) with epinephrine (1:2</w:t>
      </w:r>
      <w:r w:rsidR="00A640D9">
        <w:t>00</w:t>
      </w:r>
      <w:r w:rsidR="00124AEA" w:rsidRPr="00E97607">
        <w:t>000) was injected followed 5 minutes la</w:t>
      </w:r>
      <w:r w:rsidR="00124AEA" w:rsidRPr="00E97607">
        <w:t>t</w:t>
      </w:r>
      <w:r w:rsidR="00124AEA" w:rsidRPr="00E97607">
        <w:t>er by a further 20 ml.</w:t>
      </w:r>
    </w:p>
    <w:p w:rsidR="00124AEA" w:rsidRPr="00E97607" w:rsidRDefault="00A94C25" w:rsidP="00A94C25">
      <w:pPr>
        <w:pStyle w:val="matn"/>
      </w:pPr>
      <w:r w:rsidRPr="00A94C25">
        <w:tab/>
      </w:r>
      <w:r w:rsidR="00124AEA" w:rsidRPr="00E97607">
        <w:t xml:space="preserve">All patients were monitored by non-invasive electrocardiogram, blood pressure, and pulse oxymetry. Additionally, end-tidal carbon dioxide (Etco2) was monitored and </w:t>
      </w:r>
      <w:r w:rsidR="00124AEA" w:rsidRPr="00E97607">
        <w:lastRenderedPageBreak/>
        <w:t>maintained within 35-40 mmhg during oper</w:t>
      </w:r>
      <w:r w:rsidR="00124AEA" w:rsidRPr="00E97607">
        <w:t>a</w:t>
      </w:r>
      <w:r w:rsidR="00124AEA" w:rsidRPr="00E97607">
        <w:t>tion in the GA group.</w:t>
      </w:r>
    </w:p>
    <w:p w:rsidR="00124AEA" w:rsidRPr="00E97607" w:rsidRDefault="00A94C25" w:rsidP="00A94C25">
      <w:pPr>
        <w:pStyle w:val="matn"/>
      </w:pPr>
      <w:r w:rsidRPr="00A94C25">
        <w:tab/>
      </w:r>
      <w:r w:rsidR="00124AEA" w:rsidRPr="00E97607">
        <w:t>In both groups, preloading with Ringer's lactate solution prevented sever reduction in blood pressure and kept mean of arterial pre</w:t>
      </w:r>
      <w:r w:rsidR="00124AEA" w:rsidRPr="00E97607">
        <w:t>s</w:t>
      </w:r>
      <w:r w:rsidR="00124AEA" w:rsidRPr="00E97607">
        <w:t>sure above 70% of baseline levels in hyperte</w:t>
      </w:r>
      <w:r w:rsidR="00124AEA" w:rsidRPr="00E97607">
        <w:t>n</w:t>
      </w:r>
      <w:r w:rsidR="00124AEA" w:rsidRPr="00E97607">
        <w:t>sive patients and above 65 mmhg in normote</w:t>
      </w:r>
      <w:r w:rsidR="00124AEA" w:rsidRPr="00E97607">
        <w:t>n</w:t>
      </w:r>
      <w:r w:rsidR="00124AEA" w:rsidRPr="00E97607">
        <w:t>sive patients.3 Blood pressure was measured every 15 minutes and if it fell to below these limits, halothane was reduced gradually in the GA group and an additional 10 ml/kg Ringer's lactate solution was infused in a period of 10 minutes in the NA group to reestablish the a</w:t>
      </w:r>
      <w:r w:rsidR="00124AEA" w:rsidRPr="00E97607">
        <w:t>c</w:t>
      </w:r>
      <w:r w:rsidR="00124AEA" w:rsidRPr="00E97607">
        <w:t>ceptable blood pressure.11 If the blood pre</w:t>
      </w:r>
      <w:r w:rsidR="00124AEA" w:rsidRPr="00E97607">
        <w:t>s</w:t>
      </w:r>
      <w:r w:rsidR="00124AEA" w:rsidRPr="00E97607">
        <w:t>sure did not respond after these interventions, 5-10 mg bolus of intravenous ephedrine, a</w:t>
      </w:r>
      <w:r w:rsidR="00124AEA" w:rsidRPr="00E97607">
        <w:t>c</w:t>
      </w:r>
      <w:r w:rsidR="00124AEA" w:rsidRPr="00E97607">
        <w:t>cording to the degree of hypotension, was a</w:t>
      </w:r>
      <w:r w:rsidR="00124AEA" w:rsidRPr="00E97607">
        <w:t>d</w:t>
      </w:r>
      <w:r w:rsidR="00124AEA" w:rsidRPr="00E97607">
        <w:t>ministered. The second dose was repeated a</w:t>
      </w:r>
      <w:r w:rsidR="00124AEA" w:rsidRPr="00E97607">
        <w:t>f</w:t>
      </w:r>
      <w:r w:rsidR="00124AEA" w:rsidRPr="00E97607">
        <w:t>ter 5 minutes if the blood pressure was not normalized. Five minutes after the second dose of ephedrine, if the mean arterial pressure was still less than 70% of its baseline value, further ephedrine boluses were administered, and the case regarded as a failure in the study.</w:t>
      </w:r>
    </w:p>
    <w:p w:rsidR="00124AEA" w:rsidRPr="00E97607" w:rsidRDefault="00A94C25" w:rsidP="00A94C25">
      <w:pPr>
        <w:pStyle w:val="matn"/>
      </w:pPr>
      <w:r w:rsidRPr="00A94C25">
        <w:tab/>
      </w:r>
      <w:r w:rsidR="00124AEA" w:rsidRPr="00E97607">
        <w:t>Hemoglobin level was measured before surgery (baseline), 6 hours, and 2, 3, and 5 days after the end of it. The total estimated intraoperative blood loss was recorded at the end of each surgery with bloody gauze coun</w:t>
      </w:r>
      <w:r w:rsidR="00124AEA" w:rsidRPr="00E97607">
        <w:t>t</w:t>
      </w:r>
      <w:r w:rsidR="00124AEA" w:rsidRPr="00E97607">
        <w:t>ing and measuring volume of suction bottles; also, the amount of postoperative hemorrhage was measured according to its volume in h</w:t>
      </w:r>
      <w:r w:rsidR="00124AEA" w:rsidRPr="00E97607">
        <w:t>e</w:t>
      </w:r>
      <w:r w:rsidR="00124AEA" w:rsidRPr="00E97607">
        <w:t>movac drain.</w:t>
      </w:r>
    </w:p>
    <w:p w:rsidR="00124AEA" w:rsidRPr="00E97607" w:rsidRDefault="00A94C25" w:rsidP="00A94C25">
      <w:pPr>
        <w:pStyle w:val="matn"/>
      </w:pPr>
      <w:r w:rsidRPr="00A94C25">
        <w:tab/>
      </w:r>
      <w:r w:rsidR="00124AEA" w:rsidRPr="00E97607">
        <w:t>The time interval between the induction of anesthesia (GA or NA) and dressing of the site of operation was recorded as the duration of surgery.</w:t>
      </w:r>
    </w:p>
    <w:p w:rsidR="00124AEA" w:rsidRPr="00E97607" w:rsidRDefault="00A94C25" w:rsidP="00FE4214">
      <w:pPr>
        <w:pStyle w:val="matn"/>
      </w:pPr>
      <w:r w:rsidRPr="00A94C25">
        <w:tab/>
      </w:r>
      <w:r w:rsidR="00124AEA" w:rsidRPr="00E97607">
        <w:t>Postoperative pain severity was evaluated using a visual analogue scale (VAS) ranging from 0 (no pain) to 10 (worst possible pain). The VAS was evaluated by a nurse at the time of discharge from recovery room and by a second nurse on the ward at the 2</w:t>
      </w:r>
      <w:r w:rsidR="00124AEA" w:rsidRPr="00FE4214">
        <w:rPr>
          <w:vertAlign w:val="superscript"/>
        </w:rPr>
        <w:t>nd</w:t>
      </w:r>
      <w:r w:rsidR="00124AEA" w:rsidRPr="00E97607">
        <w:t>, 3</w:t>
      </w:r>
      <w:r w:rsidR="00124AEA" w:rsidRPr="00FE4214">
        <w:rPr>
          <w:vertAlign w:val="superscript"/>
        </w:rPr>
        <w:t>rd</w:t>
      </w:r>
      <w:r w:rsidR="00124AEA" w:rsidRPr="00E97607">
        <w:t>, and 5</w:t>
      </w:r>
      <w:r w:rsidR="00124AEA" w:rsidRPr="00FE4214">
        <w:rPr>
          <w:vertAlign w:val="superscript"/>
        </w:rPr>
        <w:t>th</w:t>
      </w:r>
      <w:r w:rsidR="00FE4214">
        <w:t xml:space="preserve"> </w:t>
      </w:r>
      <w:r w:rsidR="00124AEA" w:rsidRPr="00E97607">
        <w:t>day after surgery. Observers were not aware of group assignment. Intravenous morphine (5 mg) was administered to the patients r</w:t>
      </w:r>
      <w:r w:rsidR="00124AEA" w:rsidRPr="00E97607">
        <w:t>e</w:t>
      </w:r>
      <w:r w:rsidR="00124AEA" w:rsidRPr="00E97607">
        <w:t xml:space="preserve">quested analgesia and its total amounts were </w:t>
      </w:r>
      <w:r w:rsidR="00A640D9">
        <w:br w:type="column"/>
      </w:r>
      <w:r w:rsidR="00124AEA" w:rsidRPr="00E97607">
        <w:lastRenderedPageBreak/>
        <w:t>recorded till 5 days after the end of surgery.</w:t>
      </w:r>
    </w:p>
    <w:p w:rsidR="00124AEA" w:rsidRPr="00E97607" w:rsidRDefault="00124AEA" w:rsidP="00124AEA">
      <w:pPr>
        <w:pStyle w:val="matn"/>
      </w:pPr>
      <w:r w:rsidRPr="00E97607">
        <w:t>Cognitive dysfunctions were noted before di</w:t>
      </w:r>
      <w:r w:rsidRPr="00E97607">
        <w:t>s</w:t>
      </w:r>
      <w:r w:rsidRPr="00E97607">
        <w:t xml:space="preserve">charge from recovery room, and at 24 and 48 hours after the end of the surgery based on time, person, and place disorientation. </w:t>
      </w:r>
    </w:p>
    <w:p w:rsidR="00124AEA" w:rsidRPr="00E97607" w:rsidRDefault="00A94C25" w:rsidP="00A94C25">
      <w:pPr>
        <w:pStyle w:val="matn"/>
      </w:pPr>
      <w:r w:rsidRPr="00A94C25">
        <w:tab/>
      </w:r>
      <w:r w:rsidR="00124AEA" w:rsidRPr="00E97607">
        <w:t>Postoperative complications such as deep veins thrombosis, congestive heart failure, myocardial infarction, atelectasis, pulmonary infection, and cerebrovascular accidents are diagnosed by the consultant specialist. The number of patients who died over one month period in the hospital or after discharge from it was recorded.</w:t>
      </w:r>
    </w:p>
    <w:p w:rsidR="00322F1E" w:rsidRPr="005650A9" w:rsidRDefault="00A94C25" w:rsidP="00A94C25">
      <w:pPr>
        <w:pStyle w:val="matn"/>
      </w:pPr>
      <w:r w:rsidRPr="00A94C25">
        <w:tab/>
      </w:r>
      <w:r w:rsidR="00124AEA" w:rsidRPr="00E97607">
        <w:t>The data were analyzed using SPSS stati</w:t>
      </w:r>
      <w:r w:rsidR="00124AEA" w:rsidRPr="00E97607">
        <w:t>s</w:t>
      </w:r>
      <w:r w:rsidR="00124AEA" w:rsidRPr="00E97607">
        <w:t>tical package (version 12, SPSS Inc., Chicago, IL). Frequencies were compared by Mann-Whitney and chi-square tests, as appropriate, and t-test was used to compare the averages. Significance level was set at p &lt; 0.05.</w:t>
      </w:r>
    </w:p>
    <w:p w:rsidR="00322F1E" w:rsidRPr="005650A9" w:rsidRDefault="00322F1E" w:rsidP="00134154">
      <w:pPr>
        <w:pStyle w:val="Heading3"/>
        <w:bidi w:val="0"/>
      </w:pPr>
      <w:r w:rsidRPr="005650A9">
        <w:t>Results</w:t>
      </w:r>
    </w:p>
    <w:p w:rsidR="00E97607" w:rsidRDefault="00E97607" w:rsidP="00E97607">
      <w:pPr>
        <w:pStyle w:val="matn"/>
      </w:pPr>
      <w:r w:rsidRPr="00E97607">
        <w:t>During the study period, 400 consecutive p</w:t>
      </w:r>
      <w:r w:rsidRPr="00E97607">
        <w:t>a</w:t>
      </w:r>
      <w:r w:rsidRPr="00E97607">
        <w:t>tients with the required surgical indication were included. Three patients of the GA group and 10 of the NA group were excluded b</w:t>
      </w:r>
      <w:r w:rsidRPr="00E97607">
        <w:t>e</w:t>
      </w:r>
      <w:r w:rsidRPr="00E97607">
        <w:t>cause of change in anesthetic or surgical plan. Recruitment ended with the completion of the protocol in the 387</w:t>
      </w:r>
      <w:r w:rsidRPr="00E97607">
        <w:rPr>
          <w:vertAlign w:val="superscript"/>
        </w:rPr>
        <w:t>th</w:t>
      </w:r>
      <w:r w:rsidRPr="00E97607">
        <w:t xml:space="preserve"> patient. One hundred and ninety-seven (50.9%) patients were allocated to the GA group, whereas 190 (49.1%) patients constituted the NA group. Of 190 neuraxial anesthesia patients, 164 (42.4%), 1 (4%) and 22 (5.7%) received spinal, epidural and cont</w:t>
      </w:r>
      <w:r w:rsidRPr="00E97607">
        <w:t>i</w:t>
      </w:r>
      <w:r w:rsidRPr="00E97607">
        <w:t>nuous epidural anesthesia, respectively.</w:t>
      </w:r>
    </w:p>
    <w:p w:rsidR="00E97607" w:rsidRPr="00E97607" w:rsidRDefault="00A94C25" w:rsidP="00A94C25">
      <w:pPr>
        <w:pStyle w:val="matn"/>
      </w:pPr>
      <w:r w:rsidRPr="00A94C25">
        <w:tab/>
      </w:r>
      <w:r w:rsidR="00E97607" w:rsidRPr="00E97607">
        <w:t>Patients and surgical characteristics, bas</w:t>
      </w:r>
      <w:r w:rsidR="00E97607" w:rsidRPr="00E97607">
        <w:t>e</w:t>
      </w:r>
      <w:r w:rsidR="00E97607" w:rsidRPr="00E97607">
        <w:t xml:space="preserve">line hemoglobin and length of stay in hospital before surgery are listed in table 1. Groups are similar regarding age, weight and gender ratio. </w:t>
      </w:r>
    </w:p>
    <w:p w:rsidR="00EA195E" w:rsidRPr="00885024" w:rsidRDefault="00A94C25" w:rsidP="00885024">
      <w:pPr>
        <w:pStyle w:val="matn"/>
      </w:pPr>
      <w:r w:rsidRPr="00A94C25">
        <w:tab/>
      </w:r>
      <w:r w:rsidR="00E97607" w:rsidRPr="00E97607">
        <w:t>The mean of intraoperative blood loss, mean of VAS scores in recovery and on the 3</w:t>
      </w:r>
      <w:r w:rsidR="00E97607" w:rsidRPr="00E97607">
        <w:rPr>
          <w:vertAlign w:val="superscript"/>
        </w:rPr>
        <w:t>rd</w:t>
      </w:r>
      <w:r w:rsidR="00E97607" w:rsidRPr="00E97607">
        <w:t xml:space="preserve"> postoperative day, and also the length of stay in hospital after surgery in the NA group were significantly less than the GA group. Both groups showed a significant decrease in h</w:t>
      </w:r>
      <w:r w:rsidR="00E97607" w:rsidRPr="00E97607">
        <w:t>e</w:t>
      </w:r>
      <w:r w:rsidR="00E97607" w:rsidRPr="00E97607">
        <w:t>moglobin values on the 2</w:t>
      </w:r>
      <w:r w:rsidR="00E97607" w:rsidRPr="00E97607">
        <w:rPr>
          <w:vertAlign w:val="superscript"/>
        </w:rPr>
        <w:t>nd</w:t>
      </w:r>
      <w:r w:rsidR="00E97607" w:rsidRPr="00E97607">
        <w:t xml:space="preserve"> and 3</w:t>
      </w:r>
      <w:r w:rsidR="00E97607" w:rsidRPr="00E97607">
        <w:rPr>
          <w:vertAlign w:val="superscript"/>
        </w:rPr>
        <w:t>rd</w:t>
      </w:r>
      <w:r w:rsidR="00E97607" w:rsidRPr="00E97607">
        <w:t xml:space="preserve"> postoper</w:t>
      </w:r>
      <w:r w:rsidR="00E97607" w:rsidRPr="00E97607">
        <w:t>a</w:t>
      </w:r>
      <w:r w:rsidR="00E97607" w:rsidRPr="00E97607">
        <w:t xml:space="preserve">tive days comparing to the baseline values </w:t>
      </w:r>
      <w:r w:rsidR="00FE4214">
        <w:br/>
      </w:r>
      <w:r w:rsidR="00E97607" w:rsidRPr="00E97607">
        <w:t>(p &lt; 0.001) (Table 2).</w:t>
      </w:r>
    </w:p>
    <w:p w:rsidR="00EA195E" w:rsidRPr="00EA195E" w:rsidRDefault="00EA195E" w:rsidP="00EA195E">
      <w:pPr>
        <w:pStyle w:val="matn"/>
        <w:rPr>
          <w:b/>
          <w:bCs/>
        </w:rPr>
        <w:sectPr w:rsidR="00EA195E" w:rsidRPr="00EA195E" w:rsidSect="0061636D">
          <w:headerReference w:type="default" r:id="rId13"/>
          <w:footerReference w:type="default" r:id="rId14"/>
          <w:footerReference w:type="first" r:id="rId15"/>
          <w:type w:val="continuous"/>
          <w:pgSz w:w="11907" w:h="16840" w:code="9"/>
          <w:pgMar w:top="1814" w:right="1134" w:bottom="1701" w:left="1134" w:header="1247" w:footer="1247" w:gutter="0"/>
          <w:cols w:num="2" w:space="425"/>
          <w:titlePg/>
          <w:docGrid w:linePitch="360"/>
        </w:sectPr>
      </w:pPr>
    </w:p>
    <w:p w:rsidR="00EA195E" w:rsidRPr="00EA195E" w:rsidRDefault="00EA195E" w:rsidP="00B463CE">
      <w:pPr>
        <w:pStyle w:val="matn"/>
        <w:jc w:val="center"/>
        <w:sectPr w:rsidR="00EA195E" w:rsidRPr="00EA195E" w:rsidSect="007E0D20">
          <w:type w:val="continuous"/>
          <w:pgSz w:w="11907" w:h="16840" w:code="9"/>
          <w:pgMar w:top="1814" w:right="1134" w:bottom="1701" w:left="1134" w:header="1247" w:footer="1247" w:gutter="0"/>
          <w:cols w:space="425"/>
          <w:titlePg/>
          <w:docGrid w:linePitch="360"/>
        </w:sectPr>
      </w:pPr>
      <w:r w:rsidRPr="00EA195E">
        <w:rPr>
          <w:b/>
          <w:bCs/>
        </w:rPr>
        <w:lastRenderedPageBreak/>
        <w:t>Table 1.</w:t>
      </w:r>
      <w:r w:rsidRPr="00EA195E">
        <w:t xml:space="preserve"> </w:t>
      </w:r>
      <w:r w:rsidRPr="00B463CE">
        <w:rPr>
          <w:rFonts w:ascii="Bookman Old Style" w:hAnsi="Bookman Old Style" w:cs="Times New Roman"/>
          <w:bCs/>
          <w:sz w:val="20"/>
          <w:szCs w:val="28"/>
        </w:rPr>
        <w:t>Patient characteristics, preoperative hemoglobin values, duration of hospitalization, and some intraoperative data in the general anesthesia group (GA) and neuroaxial group (NA)</w:t>
      </w:r>
    </w:p>
    <w:tbl>
      <w:tblPr>
        <w:tblW w:w="9889" w:type="dxa"/>
        <w:tblBorders>
          <w:top w:val="single" w:sz="4" w:space="0" w:color="auto"/>
          <w:bottom w:val="single" w:sz="4" w:space="0" w:color="auto"/>
        </w:tblBorders>
        <w:tblLayout w:type="fixed"/>
        <w:tblLook w:val="04A0"/>
      </w:tblPr>
      <w:tblGrid>
        <w:gridCol w:w="2018"/>
        <w:gridCol w:w="1418"/>
        <w:gridCol w:w="1067"/>
        <w:gridCol w:w="1417"/>
        <w:gridCol w:w="1276"/>
        <w:gridCol w:w="1701"/>
        <w:gridCol w:w="992"/>
      </w:tblGrid>
      <w:tr w:rsidR="00EA195E" w:rsidRPr="00EA195E" w:rsidTr="00C918E5">
        <w:trPr>
          <w:trHeight w:val="391"/>
        </w:trPr>
        <w:tc>
          <w:tcPr>
            <w:tcW w:w="2018" w:type="dxa"/>
            <w:tcBorders>
              <w:top w:val="single" w:sz="4" w:space="0" w:color="auto"/>
              <w:bottom w:val="single" w:sz="4" w:space="0" w:color="auto"/>
            </w:tcBorders>
          </w:tcPr>
          <w:p w:rsidR="00EA195E" w:rsidRPr="00EA195E" w:rsidRDefault="00EA195E" w:rsidP="00EA195E">
            <w:pPr>
              <w:pStyle w:val="matn"/>
              <w:rPr>
                <w:rFonts w:ascii="Times New Roman" w:hAnsi="Times New Roman" w:cs="Times New Roman"/>
                <w:b/>
                <w:bCs/>
                <w:sz w:val="20"/>
                <w:szCs w:val="20"/>
              </w:rPr>
            </w:pPr>
          </w:p>
        </w:tc>
        <w:tc>
          <w:tcPr>
            <w:tcW w:w="1418" w:type="dxa"/>
            <w:tcBorders>
              <w:top w:val="single" w:sz="4" w:space="0" w:color="auto"/>
              <w:bottom w:val="single" w:sz="4" w:space="0" w:color="auto"/>
            </w:tcBorders>
          </w:tcPr>
          <w:p w:rsidR="00EA195E" w:rsidRPr="00EA195E" w:rsidRDefault="00EA195E" w:rsidP="00EA195E">
            <w:pPr>
              <w:pStyle w:val="matn"/>
              <w:rPr>
                <w:rFonts w:ascii="Times New Roman" w:hAnsi="Times New Roman" w:cs="Times New Roman"/>
                <w:b/>
                <w:bCs/>
                <w:sz w:val="20"/>
                <w:szCs w:val="20"/>
              </w:rPr>
            </w:pPr>
          </w:p>
        </w:tc>
        <w:tc>
          <w:tcPr>
            <w:tcW w:w="1067" w:type="dxa"/>
            <w:tcBorders>
              <w:top w:val="single" w:sz="4" w:space="0" w:color="auto"/>
              <w:bottom w:val="single" w:sz="4" w:space="0" w:color="auto"/>
            </w:tcBorders>
          </w:tcPr>
          <w:p w:rsidR="00EA195E" w:rsidRPr="00EA195E" w:rsidRDefault="00EA195E" w:rsidP="00EA195E">
            <w:pPr>
              <w:pStyle w:val="matn"/>
              <w:rPr>
                <w:rFonts w:ascii="Times New Roman" w:hAnsi="Times New Roman" w:cs="Times New Roman"/>
                <w:b/>
                <w:bCs/>
                <w:sz w:val="20"/>
                <w:szCs w:val="20"/>
              </w:rPr>
            </w:pPr>
          </w:p>
        </w:tc>
        <w:tc>
          <w:tcPr>
            <w:tcW w:w="1417" w:type="dxa"/>
            <w:tcBorders>
              <w:top w:val="single" w:sz="4" w:space="0" w:color="auto"/>
              <w:bottom w:val="single" w:sz="4" w:space="0" w:color="auto"/>
            </w:tcBorders>
          </w:tcPr>
          <w:p w:rsidR="00EA195E" w:rsidRPr="00EA195E" w:rsidRDefault="00EA195E" w:rsidP="00007588">
            <w:pPr>
              <w:pStyle w:val="matn"/>
              <w:jc w:val="center"/>
              <w:rPr>
                <w:rFonts w:ascii="Times New Roman" w:hAnsi="Times New Roman" w:cs="Times New Roman"/>
                <w:b/>
                <w:bCs/>
                <w:sz w:val="20"/>
                <w:szCs w:val="20"/>
              </w:rPr>
            </w:pPr>
            <w:r w:rsidRPr="00EA195E">
              <w:rPr>
                <w:rFonts w:ascii="Times New Roman" w:hAnsi="Times New Roman" w:cs="Times New Roman"/>
                <w:b/>
                <w:bCs/>
                <w:sz w:val="20"/>
                <w:szCs w:val="20"/>
              </w:rPr>
              <w:t>GA</w:t>
            </w:r>
          </w:p>
          <w:p w:rsidR="00EA195E" w:rsidRPr="00EA195E" w:rsidRDefault="00EA195E" w:rsidP="00007588">
            <w:pPr>
              <w:pStyle w:val="matn"/>
              <w:jc w:val="center"/>
              <w:rPr>
                <w:rFonts w:ascii="Times New Roman" w:hAnsi="Times New Roman" w:cs="Times New Roman"/>
                <w:b/>
                <w:bCs/>
                <w:sz w:val="20"/>
                <w:szCs w:val="20"/>
              </w:rPr>
            </w:pPr>
            <w:r w:rsidRPr="00EA195E">
              <w:rPr>
                <w:rFonts w:ascii="Times New Roman" w:hAnsi="Times New Roman" w:cs="Times New Roman"/>
                <w:b/>
                <w:bCs/>
                <w:sz w:val="20"/>
                <w:szCs w:val="20"/>
              </w:rPr>
              <w:t>(n = 197)</w:t>
            </w:r>
          </w:p>
        </w:tc>
        <w:tc>
          <w:tcPr>
            <w:tcW w:w="1276" w:type="dxa"/>
            <w:tcBorders>
              <w:top w:val="single" w:sz="4" w:space="0" w:color="auto"/>
              <w:bottom w:val="single" w:sz="4" w:space="0" w:color="auto"/>
            </w:tcBorders>
          </w:tcPr>
          <w:p w:rsidR="00EA195E" w:rsidRPr="00EA195E" w:rsidRDefault="00EA195E" w:rsidP="00EA195E">
            <w:pPr>
              <w:pStyle w:val="matn"/>
              <w:jc w:val="center"/>
              <w:rPr>
                <w:rFonts w:ascii="Times New Roman" w:hAnsi="Times New Roman" w:cs="Times New Roman"/>
                <w:b/>
                <w:bCs/>
                <w:sz w:val="20"/>
                <w:szCs w:val="20"/>
              </w:rPr>
            </w:pPr>
            <w:r w:rsidRPr="00EA195E">
              <w:rPr>
                <w:rFonts w:ascii="Times New Roman" w:hAnsi="Times New Roman" w:cs="Times New Roman"/>
                <w:b/>
                <w:bCs/>
                <w:sz w:val="20"/>
                <w:szCs w:val="20"/>
              </w:rPr>
              <w:t>NA</w:t>
            </w:r>
          </w:p>
          <w:p w:rsidR="00EA195E" w:rsidRPr="00EA195E" w:rsidRDefault="00EA195E" w:rsidP="00EA195E">
            <w:pPr>
              <w:pStyle w:val="matn"/>
              <w:jc w:val="center"/>
              <w:rPr>
                <w:rFonts w:ascii="Times New Roman" w:hAnsi="Times New Roman" w:cs="Times New Roman"/>
                <w:b/>
                <w:bCs/>
                <w:sz w:val="20"/>
                <w:szCs w:val="20"/>
              </w:rPr>
            </w:pPr>
            <w:r w:rsidRPr="00EA195E">
              <w:rPr>
                <w:rFonts w:ascii="Times New Roman" w:hAnsi="Times New Roman" w:cs="Times New Roman"/>
                <w:b/>
                <w:bCs/>
                <w:sz w:val="20"/>
                <w:szCs w:val="20"/>
              </w:rPr>
              <w:t>(n = 190)</w:t>
            </w:r>
          </w:p>
        </w:tc>
        <w:tc>
          <w:tcPr>
            <w:tcW w:w="1701" w:type="dxa"/>
            <w:tcBorders>
              <w:top w:val="single" w:sz="4" w:space="0" w:color="auto"/>
              <w:bottom w:val="single" w:sz="4" w:space="0" w:color="auto"/>
            </w:tcBorders>
          </w:tcPr>
          <w:p w:rsidR="00EA195E" w:rsidRPr="00EA195E" w:rsidRDefault="00EA195E" w:rsidP="00EA195E">
            <w:pPr>
              <w:pStyle w:val="matn"/>
              <w:jc w:val="center"/>
              <w:rPr>
                <w:rFonts w:ascii="Times New Roman" w:hAnsi="Times New Roman" w:cs="Times New Roman"/>
                <w:b/>
                <w:bCs/>
                <w:spacing w:val="-8"/>
                <w:sz w:val="20"/>
                <w:szCs w:val="20"/>
              </w:rPr>
            </w:pPr>
            <w:r>
              <w:rPr>
                <w:rFonts w:ascii="Times New Roman" w:hAnsi="Times New Roman" w:cs="Times New Roman"/>
                <w:b/>
                <w:bCs/>
                <w:spacing w:val="-8"/>
                <w:sz w:val="20"/>
                <w:szCs w:val="20"/>
              </w:rPr>
              <w:t xml:space="preserve">Total </w:t>
            </w:r>
            <w:r w:rsidRPr="00EA195E">
              <w:rPr>
                <w:rFonts w:ascii="Times New Roman" w:hAnsi="Times New Roman" w:cs="Times New Roman"/>
                <w:b/>
                <w:bCs/>
                <w:spacing w:val="-8"/>
                <w:sz w:val="20"/>
                <w:szCs w:val="20"/>
              </w:rPr>
              <w:t>number of patients</w:t>
            </w:r>
          </w:p>
        </w:tc>
        <w:tc>
          <w:tcPr>
            <w:tcW w:w="992" w:type="dxa"/>
            <w:tcBorders>
              <w:top w:val="single" w:sz="4" w:space="0" w:color="auto"/>
              <w:bottom w:val="single" w:sz="4" w:space="0" w:color="auto"/>
            </w:tcBorders>
          </w:tcPr>
          <w:p w:rsidR="00EA195E" w:rsidRPr="00EA195E" w:rsidRDefault="00EA195E" w:rsidP="00EA195E">
            <w:pPr>
              <w:pStyle w:val="matn"/>
              <w:rPr>
                <w:rFonts w:ascii="Times New Roman" w:hAnsi="Times New Roman" w:cs="Times New Roman"/>
                <w:b/>
                <w:bCs/>
                <w:sz w:val="20"/>
                <w:szCs w:val="20"/>
              </w:rPr>
            </w:pPr>
            <w:r w:rsidRPr="00EA195E">
              <w:rPr>
                <w:rFonts w:ascii="Times New Roman" w:hAnsi="Times New Roman" w:cs="Times New Roman"/>
                <w:b/>
                <w:bCs/>
                <w:sz w:val="20"/>
                <w:szCs w:val="20"/>
              </w:rPr>
              <w:t>P value</w:t>
            </w:r>
          </w:p>
        </w:tc>
      </w:tr>
      <w:tr w:rsidR="00EA195E" w:rsidRPr="00EA195E" w:rsidTr="00FE4214">
        <w:trPr>
          <w:trHeight w:val="192"/>
        </w:trPr>
        <w:tc>
          <w:tcPr>
            <w:tcW w:w="2018" w:type="dxa"/>
            <w:vMerge w:val="restart"/>
            <w:tcBorders>
              <w:top w:val="single" w:sz="4" w:space="0" w:color="auto"/>
            </w:tcBorders>
          </w:tcPr>
          <w:p w:rsidR="00EA195E" w:rsidRPr="00EA195E" w:rsidRDefault="00EA195E" w:rsidP="00EA195E">
            <w:pPr>
              <w:pStyle w:val="matn"/>
              <w:rPr>
                <w:rFonts w:ascii="Times New Roman" w:hAnsi="Times New Roman" w:cs="Times New Roman"/>
                <w:sz w:val="20"/>
                <w:szCs w:val="20"/>
              </w:rPr>
            </w:pPr>
            <w:r w:rsidRPr="00EA195E">
              <w:rPr>
                <w:rFonts w:ascii="Times New Roman" w:hAnsi="Times New Roman" w:cs="Times New Roman"/>
                <w:sz w:val="20"/>
                <w:szCs w:val="20"/>
              </w:rPr>
              <w:t>Age number (percent) (year)*</w:t>
            </w:r>
          </w:p>
        </w:tc>
        <w:tc>
          <w:tcPr>
            <w:tcW w:w="2485" w:type="dxa"/>
            <w:gridSpan w:val="2"/>
            <w:tcBorders>
              <w:top w:val="single" w:sz="4" w:space="0" w:color="auto"/>
            </w:tcBorders>
          </w:tcPr>
          <w:p w:rsidR="00EA195E" w:rsidRPr="00EA195E" w:rsidRDefault="00EA195E" w:rsidP="00007588">
            <w:pPr>
              <w:pStyle w:val="matn"/>
              <w:jc w:val="center"/>
              <w:rPr>
                <w:rFonts w:ascii="Times New Roman" w:hAnsi="Times New Roman" w:cs="Times New Roman"/>
                <w:sz w:val="20"/>
                <w:szCs w:val="20"/>
              </w:rPr>
            </w:pPr>
            <w:r w:rsidRPr="00EA195E">
              <w:rPr>
                <w:rFonts w:ascii="Times New Roman" w:hAnsi="Times New Roman" w:cs="Times New Roman"/>
                <w:sz w:val="20"/>
                <w:szCs w:val="20"/>
              </w:rPr>
              <w:t>&gt; 40</w:t>
            </w:r>
          </w:p>
        </w:tc>
        <w:tc>
          <w:tcPr>
            <w:tcW w:w="1417" w:type="dxa"/>
            <w:tcBorders>
              <w:top w:val="single" w:sz="4" w:space="0" w:color="auto"/>
            </w:tcBorders>
          </w:tcPr>
          <w:p w:rsidR="00EA195E" w:rsidRPr="00EA195E" w:rsidRDefault="00EA195E" w:rsidP="00007588">
            <w:pPr>
              <w:pStyle w:val="matn"/>
              <w:jc w:val="center"/>
              <w:rPr>
                <w:rFonts w:ascii="Times New Roman" w:hAnsi="Times New Roman" w:cs="Times New Roman"/>
                <w:sz w:val="20"/>
                <w:szCs w:val="20"/>
              </w:rPr>
            </w:pPr>
            <w:r w:rsidRPr="00EA195E">
              <w:rPr>
                <w:rFonts w:ascii="Times New Roman" w:hAnsi="Times New Roman" w:cs="Times New Roman"/>
                <w:sz w:val="20"/>
                <w:szCs w:val="20"/>
              </w:rPr>
              <w:t>147 (75.4)</w:t>
            </w:r>
          </w:p>
        </w:tc>
        <w:tc>
          <w:tcPr>
            <w:tcW w:w="1276" w:type="dxa"/>
            <w:tcBorders>
              <w:top w:val="single" w:sz="4" w:space="0" w:color="auto"/>
            </w:tcBorders>
          </w:tcPr>
          <w:p w:rsidR="00EA195E" w:rsidRPr="00EA195E" w:rsidRDefault="00EA195E" w:rsidP="00EA195E">
            <w:pPr>
              <w:pStyle w:val="matn"/>
              <w:jc w:val="center"/>
              <w:rPr>
                <w:rFonts w:ascii="Times New Roman" w:hAnsi="Times New Roman" w:cs="Times New Roman"/>
                <w:sz w:val="20"/>
                <w:szCs w:val="20"/>
              </w:rPr>
            </w:pPr>
            <w:r w:rsidRPr="00EA195E">
              <w:rPr>
                <w:rFonts w:ascii="Times New Roman" w:hAnsi="Times New Roman" w:cs="Times New Roman"/>
                <w:sz w:val="20"/>
                <w:szCs w:val="20"/>
              </w:rPr>
              <w:t>123 (76.9)</w:t>
            </w:r>
          </w:p>
        </w:tc>
        <w:tc>
          <w:tcPr>
            <w:tcW w:w="1701" w:type="dxa"/>
            <w:tcBorders>
              <w:top w:val="single" w:sz="4" w:space="0" w:color="auto"/>
            </w:tcBorders>
          </w:tcPr>
          <w:p w:rsidR="00EA195E" w:rsidRPr="00EA195E" w:rsidRDefault="00EA195E" w:rsidP="00EA195E">
            <w:pPr>
              <w:pStyle w:val="matn"/>
              <w:jc w:val="center"/>
              <w:rPr>
                <w:rFonts w:ascii="Times New Roman" w:hAnsi="Times New Roman" w:cs="Times New Roman"/>
                <w:sz w:val="20"/>
                <w:szCs w:val="20"/>
              </w:rPr>
            </w:pPr>
            <w:r w:rsidRPr="00EA195E">
              <w:rPr>
                <w:rFonts w:ascii="Times New Roman" w:hAnsi="Times New Roman" w:cs="Times New Roman"/>
                <w:sz w:val="20"/>
                <w:szCs w:val="20"/>
              </w:rPr>
              <w:t>270</w:t>
            </w:r>
          </w:p>
        </w:tc>
        <w:tc>
          <w:tcPr>
            <w:tcW w:w="992" w:type="dxa"/>
            <w:vMerge w:val="restart"/>
            <w:tcBorders>
              <w:top w:val="single" w:sz="4" w:space="0" w:color="auto"/>
            </w:tcBorders>
          </w:tcPr>
          <w:p w:rsidR="00EA195E" w:rsidRPr="00EA195E" w:rsidRDefault="00EA195E" w:rsidP="00EA195E">
            <w:pPr>
              <w:pStyle w:val="matn"/>
              <w:rPr>
                <w:rFonts w:ascii="Times New Roman" w:hAnsi="Times New Roman" w:cs="Times New Roman"/>
                <w:sz w:val="20"/>
                <w:szCs w:val="20"/>
              </w:rPr>
            </w:pPr>
            <w:r w:rsidRPr="00EA195E">
              <w:rPr>
                <w:rFonts w:ascii="Times New Roman" w:hAnsi="Times New Roman" w:cs="Times New Roman"/>
                <w:sz w:val="20"/>
                <w:szCs w:val="20"/>
              </w:rPr>
              <w:t>0.743</w:t>
            </w:r>
          </w:p>
        </w:tc>
      </w:tr>
      <w:tr w:rsidR="00EA195E" w:rsidRPr="00EA195E" w:rsidTr="00FE4214">
        <w:trPr>
          <w:trHeight w:val="238"/>
        </w:trPr>
        <w:tc>
          <w:tcPr>
            <w:tcW w:w="2018" w:type="dxa"/>
            <w:vMerge/>
          </w:tcPr>
          <w:p w:rsidR="00EA195E" w:rsidRPr="00EA195E" w:rsidRDefault="00EA195E" w:rsidP="00EA195E">
            <w:pPr>
              <w:pStyle w:val="matn"/>
              <w:rPr>
                <w:rFonts w:ascii="Times New Roman" w:hAnsi="Times New Roman" w:cs="Times New Roman"/>
                <w:sz w:val="20"/>
                <w:szCs w:val="20"/>
              </w:rPr>
            </w:pPr>
          </w:p>
        </w:tc>
        <w:tc>
          <w:tcPr>
            <w:tcW w:w="2485" w:type="dxa"/>
            <w:gridSpan w:val="2"/>
          </w:tcPr>
          <w:p w:rsidR="00EA195E" w:rsidRPr="00EA195E" w:rsidRDefault="00EA195E" w:rsidP="00007588">
            <w:pPr>
              <w:pStyle w:val="matn"/>
              <w:jc w:val="center"/>
              <w:rPr>
                <w:rFonts w:ascii="Times New Roman" w:hAnsi="Times New Roman" w:cs="Times New Roman"/>
                <w:sz w:val="20"/>
                <w:szCs w:val="20"/>
              </w:rPr>
            </w:pPr>
            <w:r w:rsidRPr="00EA195E">
              <w:rPr>
                <w:rFonts w:ascii="Times New Roman" w:hAnsi="Times New Roman" w:cs="Times New Roman"/>
                <w:sz w:val="20"/>
                <w:szCs w:val="20"/>
              </w:rPr>
              <w:t>≤ 40</w:t>
            </w:r>
          </w:p>
        </w:tc>
        <w:tc>
          <w:tcPr>
            <w:tcW w:w="1417" w:type="dxa"/>
          </w:tcPr>
          <w:p w:rsidR="00EA195E" w:rsidRPr="00EA195E" w:rsidRDefault="00EA195E" w:rsidP="00007588">
            <w:pPr>
              <w:pStyle w:val="matn"/>
              <w:jc w:val="center"/>
              <w:rPr>
                <w:rFonts w:ascii="Times New Roman" w:hAnsi="Times New Roman" w:cs="Times New Roman"/>
                <w:sz w:val="20"/>
                <w:szCs w:val="20"/>
              </w:rPr>
            </w:pPr>
            <w:r w:rsidRPr="00EA195E">
              <w:rPr>
                <w:rFonts w:ascii="Times New Roman" w:hAnsi="Times New Roman" w:cs="Times New Roman"/>
                <w:sz w:val="20"/>
                <w:szCs w:val="20"/>
              </w:rPr>
              <w:t>48 (24.6)</w:t>
            </w:r>
          </w:p>
        </w:tc>
        <w:tc>
          <w:tcPr>
            <w:tcW w:w="1276" w:type="dxa"/>
          </w:tcPr>
          <w:p w:rsidR="00EA195E" w:rsidRPr="00EA195E" w:rsidRDefault="00EA195E" w:rsidP="00EA195E">
            <w:pPr>
              <w:pStyle w:val="matn"/>
              <w:jc w:val="center"/>
              <w:rPr>
                <w:rFonts w:ascii="Times New Roman" w:hAnsi="Times New Roman" w:cs="Times New Roman"/>
                <w:sz w:val="20"/>
                <w:szCs w:val="20"/>
              </w:rPr>
            </w:pPr>
            <w:r w:rsidRPr="00EA195E">
              <w:rPr>
                <w:rFonts w:ascii="Times New Roman" w:hAnsi="Times New Roman" w:cs="Times New Roman"/>
                <w:sz w:val="20"/>
                <w:szCs w:val="20"/>
              </w:rPr>
              <w:t>37 (23.1)</w:t>
            </w:r>
          </w:p>
        </w:tc>
        <w:tc>
          <w:tcPr>
            <w:tcW w:w="1701" w:type="dxa"/>
          </w:tcPr>
          <w:p w:rsidR="00EA195E" w:rsidRPr="00EA195E" w:rsidRDefault="00EA195E" w:rsidP="00EA195E">
            <w:pPr>
              <w:pStyle w:val="matn"/>
              <w:jc w:val="center"/>
              <w:rPr>
                <w:rFonts w:ascii="Times New Roman" w:hAnsi="Times New Roman" w:cs="Times New Roman"/>
                <w:sz w:val="20"/>
                <w:szCs w:val="20"/>
              </w:rPr>
            </w:pPr>
            <w:r w:rsidRPr="00EA195E">
              <w:rPr>
                <w:rFonts w:ascii="Times New Roman" w:hAnsi="Times New Roman" w:cs="Times New Roman"/>
                <w:sz w:val="20"/>
                <w:szCs w:val="20"/>
              </w:rPr>
              <w:t>85</w:t>
            </w:r>
          </w:p>
        </w:tc>
        <w:tc>
          <w:tcPr>
            <w:tcW w:w="992" w:type="dxa"/>
            <w:vMerge/>
          </w:tcPr>
          <w:p w:rsidR="00EA195E" w:rsidRPr="00EA195E" w:rsidRDefault="00EA195E" w:rsidP="00EA195E">
            <w:pPr>
              <w:pStyle w:val="matn"/>
              <w:rPr>
                <w:rFonts w:ascii="Times New Roman" w:hAnsi="Times New Roman" w:cs="Times New Roman"/>
                <w:sz w:val="20"/>
                <w:szCs w:val="20"/>
              </w:rPr>
            </w:pPr>
          </w:p>
        </w:tc>
      </w:tr>
      <w:tr w:rsidR="00007588" w:rsidRPr="00EA195E" w:rsidTr="008F3EF4">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Weight (kg)**</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66.3 ± 10.6</w:t>
            </w:r>
          </w:p>
        </w:tc>
        <w:tc>
          <w:tcPr>
            <w:tcW w:w="1276"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64.0 ± 13.3</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65.5 ± 11.7</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0.086</w:t>
            </w:r>
          </w:p>
        </w:tc>
      </w:tr>
      <w:tr w:rsidR="00007588" w:rsidRPr="00EA195E" w:rsidTr="008F3EF4">
        <w:tc>
          <w:tcPr>
            <w:tcW w:w="4503" w:type="dxa"/>
            <w:gridSpan w:val="3"/>
          </w:tcPr>
          <w:p w:rsidR="00007588" w:rsidRPr="00EA195E" w:rsidRDefault="00007588" w:rsidP="00FE4214">
            <w:pPr>
              <w:pStyle w:val="matn"/>
              <w:rPr>
                <w:rFonts w:ascii="Times New Roman" w:hAnsi="Times New Roman" w:cs="Times New Roman"/>
                <w:sz w:val="20"/>
                <w:szCs w:val="20"/>
              </w:rPr>
            </w:pPr>
            <w:r w:rsidRPr="00EA195E">
              <w:rPr>
                <w:rFonts w:ascii="Times New Roman" w:hAnsi="Times New Roman" w:cs="Times New Roman"/>
                <w:sz w:val="20"/>
                <w:szCs w:val="20"/>
              </w:rPr>
              <w:t>Gender*</w:t>
            </w:r>
            <w:r w:rsidR="00FE4214" w:rsidRPr="00EA195E">
              <w:rPr>
                <w:rFonts w:ascii="Times New Roman" w:hAnsi="Times New Roman" w:cs="Times New Roman"/>
                <w:sz w:val="20"/>
                <w:szCs w:val="20"/>
              </w:rPr>
              <w:t xml:space="preserve"> Male/Female</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148/49</w:t>
            </w:r>
          </w:p>
        </w:tc>
        <w:tc>
          <w:tcPr>
            <w:tcW w:w="1276"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109/53</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257/102</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0.101</w:t>
            </w:r>
          </w:p>
        </w:tc>
      </w:tr>
      <w:tr w:rsidR="00007588" w:rsidRPr="00EA195E" w:rsidTr="008F3EF4">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Duration of surgery(minutes)**</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163.0 ± 82.8</w:t>
            </w:r>
          </w:p>
        </w:tc>
        <w:tc>
          <w:tcPr>
            <w:tcW w:w="1276"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142.1 ± 45.2</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153.8 ± 69.6</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0.132</w:t>
            </w:r>
          </w:p>
        </w:tc>
      </w:tr>
      <w:tr w:rsidR="00007588" w:rsidRPr="00EA195E" w:rsidTr="008F3EF4">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Hemoglobin before operation(g/dl)**</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12.4 ± 1.8</w:t>
            </w:r>
          </w:p>
        </w:tc>
        <w:tc>
          <w:tcPr>
            <w:tcW w:w="1276"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12.4 ± 1.6</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12.4 ± 1.7</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0.962</w:t>
            </w:r>
          </w:p>
        </w:tc>
      </w:tr>
      <w:tr w:rsidR="00007588" w:rsidRPr="00EA195E" w:rsidTr="008F3EF4">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Hospital stay before operation(days)**</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4.1 ± 5.2</w:t>
            </w:r>
          </w:p>
        </w:tc>
        <w:tc>
          <w:tcPr>
            <w:tcW w:w="1276"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3.9 ± 5.2</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4.0 ± 5.2</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0.753</w:t>
            </w:r>
          </w:p>
        </w:tc>
      </w:tr>
      <w:tr w:rsidR="00007588" w:rsidRPr="00EA195E" w:rsidTr="008F3EF4">
        <w:trPr>
          <w:trHeight w:val="173"/>
        </w:trPr>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Type of surgery number(percent):*</w:t>
            </w:r>
          </w:p>
        </w:tc>
        <w:tc>
          <w:tcPr>
            <w:tcW w:w="1417" w:type="dxa"/>
          </w:tcPr>
          <w:p w:rsidR="00007588" w:rsidRPr="00EA195E" w:rsidRDefault="00007588" w:rsidP="00B76A03">
            <w:pPr>
              <w:pStyle w:val="matn"/>
              <w:jc w:val="center"/>
              <w:rPr>
                <w:rFonts w:ascii="Times New Roman" w:hAnsi="Times New Roman" w:cs="Times New Roman"/>
                <w:sz w:val="20"/>
                <w:szCs w:val="20"/>
              </w:rPr>
            </w:pPr>
          </w:p>
        </w:tc>
        <w:tc>
          <w:tcPr>
            <w:tcW w:w="1276" w:type="dxa"/>
          </w:tcPr>
          <w:p w:rsidR="00007588" w:rsidRPr="00EA195E" w:rsidRDefault="00007588" w:rsidP="00B76A03">
            <w:pPr>
              <w:pStyle w:val="matn"/>
              <w:jc w:val="center"/>
              <w:rPr>
                <w:rFonts w:ascii="Times New Roman" w:hAnsi="Times New Roman" w:cs="Times New Roman"/>
                <w:sz w:val="20"/>
                <w:szCs w:val="20"/>
              </w:rPr>
            </w:pPr>
          </w:p>
        </w:tc>
        <w:tc>
          <w:tcPr>
            <w:tcW w:w="1701" w:type="dxa"/>
          </w:tcPr>
          <w:p w:rsidR="00007588" w:rsidRPr="00EA195E" w:rsidRDefault="00007588" w:rsidP="00B76A03">
            <w:pPr>
              <w:pStyle w:val="matn"/>
              <w:jc w:val="center"/>
              <w:rPr>
                <w:rFonts w:ascii="Times New Roman" w:hAnsi="Times New Roman" w:cs="Times New Roman"/>
                <w:sz w:val="20"/>
                <w:szCs w:val="20"/>
              </w:rPr>
            </w:pPr>
          </w:p>
        </w:tc>
        <w:tc>
          <w:tcPr>
            <w:tcW w:w="992" w:type="dxa"/>
          </w:tcPr>
          <w:p w:rsidR="00007588" w:rsidRPr="00EA195E" w:rsidRDefault="00007588" w:rsidP="00B76A03">
            <w:pPr>
              <w:pStyle w:val="matn"/>
              <w:jc w:val="center"/>
              <w:rPr>
                <w:rFonts w:ascii="Times New Roman" w:hAnsi="Times New Roman" w:cs="Times New Roman"/>
                <w:sz w:val="20"/>
                <w:szCs w:val="20"/>
              </w:rPr>
            </w:pPr>
          </w:p>
        </w:tc>
      </w:tr>
      <w:tr w:rsidR="00007588" w:rsidRPr="00EA195E" w:rsidTr="008F3EF4">
        <w:trPr>
          <w:trHeight w:val="182"/>
        </w:trPr>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Intertrochanteric</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122 (65.9)</w:t>
            </w:r>
          </w:p>
        </w:tc>
        <w:tc>
          <w:tcPr>
            <w:tcW w:w="1276" w:type="dxa"/>
            <w:vMerge w:val="restart"/>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89 (59.7)</w:t>
            </w:r>
          </w:p>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39 (26.2)</w:t>
            </w:r>
          </w:p>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19 (12.8)</w:t>
            </w: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211 (63.2)</w:t>
            </w:r>
          </w:p>
        </w:tc>
        <w:tc>
          <w:tcPr>
            <w:tcW w:w="992"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0.506</w:t>
            </w:r>
          </w:p>
        </w:tc>
      </w:tr>
      <w:tr w:rsidR="00007588" w:rsidRPr="00EA195E" w:rsidTr="008F3EF4">
        <w:trPr>
          <w:trHeight w:val="186"/>
        </w:trPr>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Neck of femur</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42 (22.7)</w:t>
            </w:r>
          </w:p>
        </w:tc>
        <w:tc>
          <w:tcPr>
            <w:tcW w:w="1276" w:type="dxa"/>
            <w:vMerge/>
          </w:tcPr>
          <w:p w:rsidR="00007588" w:rsidRPr="00EA195E" w:rsidRDefault="00007588" w:rsidP="00EA195E">
            <w:pPr>
              <w:pStyle w:val="matn"/>
              <w:rPr>
                <w:rFonts w:ascii="Times New Roman" w:hAnsi="Times New Roman" w:cs="Times New Roman"/>
                <w:sz w:val="20"/>
                <w:szCs w:val="20"/>
              </w:rPr>
            </w:pP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81 (24.3)</w:t>
            </w:r>
          </w:p>
        </w:tc>
        <w:tc>
          <w:tcPr>
            <w:tcW w:w="992" w:type="dxa"/>
          </w:tcPr>
          <w:p w:rsidR="00007588" w:rsidRPr="00EA195E" w:rsidRDefault="00007588" w:rsidP="00B76A03">
            <w:pPr>
              <w:pStyle w:val="matn"/>
              <w:rPr>
                <w:rFonts w:ascii="Times New Roman" w:hAnsi="Times New Roman" w:cs="Times New Roman"/>
                <w:sz w:val="20"/>
                <w:szCs w:val="20"/>
              </w:rPr>
            </w:pPr>
          </w:p>
        </w:tc>
      </w:tr>
      <w:tr w:rsidR="00007588" w:rsidRPr="00EA195E" w:rsidTr="008F3EF4">
        <w:trPr>
          <w:trHeight w:val="218"/>
        </w:trPr>
        <w:tc>
          <w:tcPr>
            <w:tcW w:w="4503" w:type="dxa"/>
            <w:gridSpan w:val="3"/>
          </w:tcPr>
          <w:p w:rsidR="00007588" w:rsidRPr="00EA195E" w:rsidRDefault="00007588" w:rsidP="00007588">
            <w:pPr>
              <w:pStyle w:val="matn"/>
              <w:rPr>
                <w:rFonts w:ascii="Times New Roman" w:hAnsi="Times New Roman" w:cs="Times New Roman"/>
                <w:sz w:val="20"/>
                <w:szCs w:val="20"/>
              </w:rPr>
            </w:pPr>
            <w:r w:rsidRPr="00EA195E">
              <w:rPr>
                <w:rFonts w:ascii="Times New Roman" w:hAnsi="Times New Roman" w:cs="Times New Roman"/>
                <w:sz w:val="20"/>
                <w:szCs w:val="20"/>
              </w:rPr>
              <w:t>subtrochanteric</w:t>
            </w:r>
          </w:p>
        </w:tc>
        <w:tc>
          <w:tcPr>
            <w:tcW w:w="1417"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19 (10.3)</w:t>
            </w:r>
          </w:p>
        </w:tc>
        <w:tc>
          <w:tcPr>
            <w:tcW w:w="1276" w:type="dxa"/>
            <w:vMerge/>
          </w:tcPr>
          <w:p w:rsidR="00007588" w:rsidRPr="00EA195E" w:rsidRDefault="00007588" w:rsidP="00EA195E">
            <w:pPr>
              <w:pStyle w:val="matn"/>
              <w:rPr>
                <w:rFonts w:ascii="Times New Roman" w:hAnsi="Times New Roman" w:cs="Times New Roman"/>
                <w:sz w:val="20"/>
                <w:szCs w:val="20"/>
              </w:rPr>
            </w:pPr>
          </w:p>
        </w:tc>
        <w:tc>
          <w:tcPr>
            <w:tcW w:w="1701" w:type="dxa"/>
          </w:tcPr>
          <w:p w:rsidR="00007588" w:rsidRPr="00EA195E" w:rsidRDefault="00007588" w:rsidP="00B76A03">
            <w:pPr>
              <w:pStyle w:val="matn"/>
              <w:jc w:val="center"/>
              <w:rPr>
                <w:rFonts w:ascii="Times New Roman" w:hAnsi="Times New Roman" w:cs="Times New Roman"/>
                <w:sz w:val="20"/>
                <w:szCs w:val="20"/>
              </w:rPr>
            </w:pPr>
            <w:r w:rsidRPr="00EA195E">
              <w:rPr>
                <w:rFonts w:ascii="Times New Roman" w:hAnsi="Times New Roman" w:cs="Times New Roman"/>
                <w:sz w:val="20"/>
                <w:szCs w:val="20"/>
              </w:rPr>
              <w:t>38 (11.4)</w:t>
            </w:r>
          </w:p>
        </w:tc>
        <w:tc>
          <w:tcPr>
            <w:tcW w:w="992" w:type="dxa"/>
          </w:tcPr>
          <w:p w:rsidR="00007588" w:rsidRPr="00EA195E" w:rsidRDefault="00007588" w:rsidP="00B76A03">
            <w:pPr>
              <w:pStyle w:val="matn"/>
              <w:rPr>
                <w:rFonts w:ascii="Times New Roman" w:hAnsi="Times New Roman" w:cs="Times New Roman"/>
                <w:sz w:val="20"/>
                <w:szCs w:val="20"/>
              </w:rPr>
            </w:pPr>
          </w:p>
        </w:tc>
      </w:tr>
    </w:tbl>
    <w:p w:rsidR="00EA195E" w:rsidRPr="00EA195E" w:rsidRDefault="00EA195E" w:rsidP="00EA195E">
      <w:pPr>
        <w:pStyle w:val="matn"/>
        <w:sectPr w:rsidR="00EA195E" w:rsidRPr="00EA195E" w:rsidSect="007E0D20">
          <w:type w:val="continuous"/>
          <w:pgSz w:w="11907" w:h="16840" w:code="9"/>
          <w:pgMar w:top="1814" w:right="1134" w:bottom="1701" w:left="1134" w:header="1247" w:footer="1247" w:gutter="0"/>
          <w:cols w:space="425"/>
          <w:titlePg/>
          <w:docGrid w:linePitch="360"/>
        </w:sectPr>
      </w:pPr>
    </w:p>
    <w:p w:rsidR="00EA195E" w:rsidRPr="00FE4214" w:rsidRDefault="00EA195E" w:rsidP="0058037F">
      <w:pPr>
        <w:pStyle w:val="matn"/>
        <w:spacing w:before="60"/>
        <w:rPr>
          <w:sz w:val="18"/>
          <w:szCs w:val="22"/>
        </w:rPr>
      </w:pPr>
      <w:r w:rsidRPr="00FE4214">
        <w:rPr>
          <w:sz w:val="18"/>
          <w:szCs w:val="22"/>
        </w:rPr>
        <w:lastRenderedPageBreak/>
        <w:t>* Chi-square test</w:t>
      </w:r>
    </w:p>
    <w:p w:rsidR="00B463CE" w:rsidRPr="00FE4214" w:rsidRDefault="00EA195E" w:rsidP="00B463CE">
      <w:pPr>
        <w:pStyle w:val="matn"/>
        <w:rPr>
          <w:sz w:val="18"/>
          <w:szCs w:val="22"/>
        </w:rPr>
      </w:pPr>
      <w:r w:rsidRPr="00FE4214">
        <w:rPr>
          <w:sz w:val="18"/>
          <w:szCs w:val="22"/>
        </w:rPr>
        <w:t>** Independent sample test (mean ± SD)</w:t>
      </w:r>
    </w:p>
    <w:p w:rsidR="00EA195E" w:rsidRPr="00FE4214" w:rsidRDefault="00EA195E" w:rsidP="00B463CE">
      <w:pPr>
        <w:pStyle w:val="matn"/>
        <w:rPr>
          <w:sz w:val="18"/>
          <w:szCs w:val="22"/>
        </w:rPr>
      </w:pPr>
      <w:r w:rsidRPr="00FE4214">
        <w:rPr>
          <w:sz w:val="18"/>
          <w:szCs w:val="22"/>
        </w:rPr>
        <w:t>Values are mean ± SD, or numbers.</w:t>
      </w:r>
    </w:p>
    <w:p w:rsidR="00EA195E" w:rsidRPr="00E97607" w:rsidRDefault="00EA195E" w:rsidP="00E97607">
      <w:pPr>
        <w:pStyle w:val="matn"/>
      </w:pPr>
    </w:p>
    <w:p w:rsidR="00B76A03" w:rsidRDefault="00B76A03" w:rsidP="00B76A03">
      <w:pPr>
        <w:pStyle w:val="matn"/>
        <w:rPr>
          <w:b/>
          <w:bCs/>
        </w:rPr>
      </w:pPr>
    </w:p>
    <w:p w:rsidR="00B463CE" w:rsidRDefault="00B463CE" w:rsidP="00B76A03">
      <w:pPr>
        <w:pStyle w:val="matn"/>
        <w:rPr>
          <w:b/>
          <w:bCs/>
        </w:rPr>
        <w:sectPr w:rsidR="00B463CE" w:rsidSect="0061636D">
          <w:footerReference w:type="first" r:id="rId16"/>
          <w:type w:val="continuous"/>
          <w:pgSz w:w="11907" w:h="16840" w:code="9"/>
          <w:pgMar w:top="1814" w:right="1134" w:bottom="1701" w:left="1134" w:header="1247" w:footer="1247" w:gutter="0"/>
          <w:cols w:num="2" w:space="425"/>
          <w:titlePg/>
          <w:docGrid w:linePitch="360"/>
        </w:sectPr>
      </w:pPr>
    </w:p>
    <w:p w:rsidR="00B76A03" w:rsidRPr="00FE4214" w:rsidRDefault="00B76A03" w:rsidP="00B76A03">
      <w:pPr>
        <w:pStyle w:val="matn"/>
        <w:rPr>
          <w:b/>
          <w:bCs/>
          <w:szCs w:val="28"/>
        </w:rPr>
      </w:pPr>
    </w:p>
    <w:p w:rsidR="00B76A03" w:rsidRPr="00B463CE" w:rsidRDefault="00B76A03" w:rsidP="00B463CE">
      <w:pPr>
        <w:pStyle w:val="matn"/>
        <w:jc w:val="center"/>
        <w:rPr>
          <w:rFonts w:ascii="Bookman Old Style" w:hAnsi="Bookman Old Style" w:cs="Times New Roman"/>
          <w:bCs/>
          <w:sz w:val="20"/>
          <w:szCs w:val="28"/>
        </w:rPr>
      </w:pPr>
      <w:r w:rsidRPr="00B76A03">
        <w:rPr>
          <w:b/>
          <w:bCs/>
        </w:rPr>
        <w:t>Table 2.</w:t>
      </w:r>
      <w:r w:rsidRPr="00B76A03">
        <w:t xml:space="preserve"> </w:t>
      </w:r>
      <w:r w:rsidRPr="00B463CE">
        <w:rPr>
          <w:rFonts w:ascii="Bookman Old Style" w:hAnsi="Bookman Old Style" w:cs="Times New Roman"/>
          <w:bCs/>
          <w:sz w:val="20"/>
          <w:szCs w:val="28"/>
        </w:rPr>
        <w:t>The mean intra- and post-operative blood loss, hemoglobin changes, pain scores and the duration of hospitalization in both groups</w:t>
      </w:r>
    </w:p>
    <w:tbl>
      <w:tblPr>
        <w:tblW w:w="9914" w:type="dxa"/>
        <w:tblInd w:w="-176" w:type="dxa"/>
        <w:tblLook w:val="04A0"/>
      </w:tblPr>
      <w:tblGrid>
        <w:gridCol w:w="4244"/>
        <w:gridCol w:w="1559"/>
        <w:gridCol w:w="1559"/>
        <w:gridCol w:w="1559"/>
        <w:gridCol w:w="993"/>
      </w:tblGrid>
      <w:tr w:rsidR="00B76A03" w:rsidRPr="00C918E5" w:rsidTr="00FE4214">
        <w:tc>
          <w:tcPr>
            <w:tcW w:w="4244" w:type="dxa"/>
            <w:tcBorders>
              <w:top w:val="single" w:sz="4" w:space="0" w:color="auto"/>
              <w:bottom w:val="single" w:sz="4" w:space="0" w:color="auto"/>
            </w:tcBorders>
          </w:tcPr>
          <w:p w:rsidR="00B76A03" w:rsidRPr="00C918E5" w:rsidRDefault="00B76A03" w:rsidP="00C918E5">
            <w:pPr>
              <w:pStyle w:val="matn"/>
              <w:jc w:val="center"/>
              <w:rPr>
                <w:rFonts w:ascii="Times New Roman" w:hAnsi="Times New Roman" w:cs="Times New Roman"/>
                <w:b/>
                <w:bCs/>
                <w:sz w:val="20"/>
                <w:szCs w:val="20"/>
              </w:rPr>
            </w:pPr>
          </w:p>
        </w:tc>
        <w:tc>
          <w:tcPr>
            <w:tcW w:w="1559" w:type="dxa"/>
            <w:tcBorders>
              <w:top w:val="single" w:sz="4" w:space="0" w:color="auto"/>
              <w:bottom w:val="single" w:sz="4" w:space="0" w:color="auto"/>
            </w:tcBorders>
          </w:tcPr>
          <w:p w:rsidR="00B76A03" w:rsidRPr="00C918E5" w:rsidRDefault="00B76A03"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GA (n = 197)</w:t>
            </w:r>
          </w:p>
        </w:tc>
        <w:tc>
          <w:tcPr>
            <w:tcW w:w="1559" w:type="dxa"/>
            <w:tcBorders>
              <w:top w:val="single" w:sz="4" w:space="0" w:color="auto"/>
              <w:bottom w:val="single" w:sz="4" w:space="0" w:color="auto"/>
            </w:tcBorders>
          </w:tcPr>
          <w:p w:rsidR="00B76A03" w:rsidRPr="00C918E5" w:rsidRDefault="00B76A03"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NB (n = 190)</w:t>
            </w:r>
          </w:p>
        </w:tc>
        <w:tc>
          <w:tcPr>
            <w:tcW w:w="1559" w:type="dxa"/>
            <w:tcBorders>
              <w:top w:val="single" w:sz="4" w:space="0" w:color="auto"/>
              <w:bottom w:val="single" w:sz="4" w:space="0" w:color="auto"/>
            </w:tcBorders>
          </w:tcPr>
          <w:p w:rsidR="00B76A03" w:rsidRPr="00C918E5" w:rsidRDefault="00B76A03"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Total (n = 387)</w:t>
            </w:r>
          </w:p>
        </w:tc>
        <w:tc>
          <w:tcPr>
            <w:tcW w:w="993" w:type="dxa"/>
            <w:tcBorders>
              <w:top w:val="single" w:sz="4" w:space="0" w:color="auto"/>
              <w:bottom w:val="single" w:sz="4" w:space="0" w:color="auto"/>
            </w:tcBorders>
          </w:tcPr>
          <w:p w:rsidR="00B76A03" w:rsidRPr="00C918E5" w:rsidRDefault="00B76A03"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P value</w:t>
            </w:r>
          </w:p>
        </w:tc>
      </w:tr>
      <w:tr w:rsidR="00B76A03" w:rsidRPr="005A5A08" w:rsidTr="00FE4214">
        <w:tc>
          <w:tcPr>
            <w:tcW w:w="4244" w:type="dxa"/>
            <w:tcBorders>
              <w:top w:val="single" w:sz="4" w:space="0" w:color="auto"/>
            </w:tcBorders>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 xml:space="preserve">Intraoperative blood loss (ml) </w:t>
            </w:r>
          </w:p>
        </w:tc>
        <w:tc>
          <w:tcPr>
            <w:tcW w:w="1559" w:type="dxa"/>
            <w:tcBorders>
              <w:top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696.8 ± 423.5</w:t>
            </w:r>
          </w:p>
        </w:tc>
        <w:tc>
          <w:tcPr>
            <w:tcW w:w="1559" w:type="dxa"/>
            <w:tcBorders>
              <w:top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 xml:space="preserve">458.8 </w:t>
            </w:r>
            <w:r w:rsidRPr="005A5A08">
              <w:rPr>
                <w:rFonts w:ascii="Times New Roman" w:hAnsi="Times New Roman" w:cs="Times New Roman"/>
                <w:sz w:val="20"/>
                <w:szCs w:val="20"/>
                <w:rtl/>
              </w:rPr>
              <w:t xml:space="preserve"> ±</w:t>
            </w:r>
            <w:r w:rsidRPr="005A5A08">
              <w:rPr>
                <w:rFonts w:ascii="Times New Roman" w:hAnsi="Times New Roman" w:cs="Times New Roman"/>
                <w:sz w:val="20"/>
                <w:szCs w:val="20"/>
              </w:rPr>
              <w:t>335.0</w:t>
            </w:r>
          </w:p>
        </w:tc>
        <w:tc>
          <w:tcPr>
            <w:tcW w:w="1559" w:type="dxa"/>
            <w:tcBorders>
              <w:top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 xml:space="preserve">602.6 </w:t>
            </w:r>
            <w:r w:rsidRPr="005A5A08">
              <w:rPr>
                <w:rFonts w:ascii="Times New Roman" w:hAnsi="Times New Roman" w:cs="Times New Roman"/>
                <w:sz w:val="20"/>
                <w:szCs w:val="20"/>
                <w:rtl/>
              </w:rPr>
              <w:t>±</w:t>
            </w:r>
            <w:r w:rsidRPr="005A5A08">
              <w:rPr>
                <w:rFonts w:ascii="Times New Roman" w:hAnsi="Times New Roman" w:cs="Times New Roman"/>
                <w:sz w:val="20"/>
                <w:szCs w:val="20"/>
              </w:rPr>
              <w:t xml:space="preserve"> 400.0</w:t>
            </w:r>
          </w:p>
        </w:tc>
        <w:tc>
          <w:tcPr>
            <w:tcW w:w="993" w:type="dxa"/>
            <w:tcBorders>
              <w:top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0.001</w:t>
            </w:r>
          </w:p>
        </w:tc>
      </w:tr>
      <w:tr w:rsidR="00B76A03" w:rsidRPr="005A5A08" w:rsidTr="00FE4214">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Postoperative blood loss (ml)</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185.2</w:t>
            </w:r>
            <w:r w:rsidRPr="005A5A08">
              <w:rPr>
                <w:rFonts w:ascii="Times New Roman" w:hAnsi="Times New Roman" w:cs="Times New Roman"/>
                <w:sz w:val="20"/>
                <w:szCs w:val="20"/>
                <w:rtl/>
              </w:rPr>
              <w:t xml:space="preserve"> ± </w:t>
            </w:r>
            <w:r w:rsidRPr="005A5A08">
              <w:rPr>
                <w:rFonts w:ascii="Times New Roman" w:hAnsi="Times New Roman" w:cs="Times New Roman"/>
                <w:sz w:val="20"/>
                <w:szCs w:val="20"/>
              </w:rPr>
              <w:t>194.7</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200.9</w:t>
            </w:r>
            <w:r w:rsidRPr="005A5A08">
              <w:rPr>
                <w:rFonts w:ascii="Times New Roman" w:hAnsi="Times New Roman" w:cs="Times New Roman"/>
                <w:sz w:val="20"/>
                <w:szCs w:val="20"/>
                <w:rtl/>
              </w:rPr>
              <w:t xml:space="preserve"> ± </w:t>
            </w:r>
            <w:r w:rsidRPr="005A5A08">
              <w:rPr>
                <w:rFonts w:ascii="Times New Roman" w:hAnsi="Times New Roman" w:cs="Times New Roman"/>
                <w:sz w:val="20"/>
                <w:szCs w:val="20"/>
              </w:rPr>
              <w:t>266.1</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 xml:space="preserve">191.4 </w:t>
            </w:r>
            <w:r w:rsidRPr="005A5A08">
              <w:rPr>
                <w:rFonts w:ascii="Times New Roman" w:hAnsi="Times New Roman" w:cs="Times New Roman"/>
                <w:sz w:val="20"/>
                <w:szCs w:val="20"/>
                <w:rtl/>
              </w:rPr>
              <w:t>±</w:t>
            </w:r>
            <w:r w:rsidRPr="005A5A08">
              <w:rPr>
                <w:rFonts w:ascii="Times New Roman" w:hAnsi="Times New Roman" w:cs="Times New Roman"/>
                <w:sz w:val="20"/>
                <w:szCs w:val="20"/>
              </w:rPr>
              <w:t xml:space="preserve"> 225.0</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0.273</w:t>
            </w:r>
          </w:p>
        </w:tc>
      </w:tr>
      <w:tr w:rsidR="00B76A03" w:rsidRPr="005A5A08" w:rsidTr="00FE4214">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Hgb reduction on second day (mg/dl)</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1.4 ± 1.4</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1.3 ± 1.7</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1.4 ± 1.5</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0.910</w:t>
            </w:r>
          </w:p>
        </w:tc>
      </w:tr>
      <w:tr w:rsidR="00B76A03" w:rsidRPr="005A5A08" w:rsidTr="00FE4214">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Hgb reduction on the 3rd day (mg/dl)</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1.5 ± 1.8</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1.6 ± 2.1</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1.6 ± 1.9</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0.997</w:t>
            </w:r>
          </w:p>
        </w:tc>
      </w:tr>
      <w:tr w:rsidR="00B76A03" w:rsidRPr="005A5A08" w:rsidTr="00FE4214">
        <w:trPr>
          <w:trHeight w:val="319"/>
        </w:trPr>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Hgb reduction on the 5th day (mg/dl)</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1.4 ± 2.5</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2.4 ± 3.2</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1.9 ± 2.9</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0.357</w:t>
            </w:r>
          </w:p>
        </w:tc>
      </w:tr>
      <w:tr w:rsidR="00B76A03" w:rsidRPr="005A5A08" w:rsidTr="00FE4214">
        <w:trPr>
          <w:trHeight w:val="367"/>
        </w:trPr>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Pain severity in recovery room (VAS)*</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4.8 ± 3.1</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2.7 ± 2.7</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3.9 ± 3.1</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0.000</w:t>
            </w:r>
          </w:p>
        </w:tc>
      </w:tr>
      <w:tr w:rsidR="00B76A03" w:rsidRPr="005A5A08" w:rsidTr="00FE4214">
        <w:trPr>
          <w:trHeight w:val="323"/>
        </w:trPr>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Pain severity (VAS) on the 2nd day</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4.3 ± 2.4</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3.8 ± 2.3</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4.1 ± 2.3</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0.074</w:t>
            </w:r>
          </w:p>
        </w:tc>
      </w:tr>
      <w:tr w:rsidR="00B76A03" w:rsidRPr="005A5A08" w:rsidTr="00FE4214">
        <w:tblPrEx>
          <w:tblLook w:val="0000"/>
        </w:tblPrEx>
        <w:trPr>
          <w:trHeight w:val="219"/>
        </w:trPr>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 xml:space="preserve">Severity of pain on the 3rd day </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3.4 ± 1.9</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2.9 ± 2.0</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2.9 ± 2.0</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0.020</w:t>
            </w:r>
          </w:p>
        </w:tc>
      </w:tr>
      <w:tr w:rsidR="00B76A03" w:rsidRPr="005A5A08" w:rsidTr="00FE4214">
        <w:tblPrEx>
          <w:tblLook w:val="0000"/>
        </w:tblPrEx>
        <w:trPr>
          <w:trHeight w:val="325"/>
        </w:trPr>
        <w:tc>
          <w:tcPr>
            <w:tcW w:w="4244" w:type="dxa"/>
          </w:tcPr>
          <w:p w:rsidR="00B76A03" w:rsidRPr="005A5A08" w:rsidRDefault="00B76A03" w:rsidP="00B76A03">
            <w:pPr>
              <w:pStyle w:val="matn"/>
              <w:rPr>
                <w:rFonts w:ascii="Times New Roman" w:hAnsi="Times New Roman" w:cs="Times New Roman"/>
                <w:sz w:val="20"/>
                <w:szCs w:val="20"/>
              </w:rPr>
            </w:pPr>
            <w:r w:rsidRPr="005A5A08">
              <w:rPr>
                <w:rFonts w:ascii="Times New Roman" w:hAnsi="Times New Roman" w:cs="Times New Roman"/>
                <w:sz w:val="20"/>
                <w:szCs w:val="20"/>
              </w:rPr>
              <w:t>Pain severity on the 5th day</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2.9 ± 2.1</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2.7 ± 2.6</w:t>
            </w:r>
          </w:p>
        </w:tc>
        <w:tc>
          <w:tcPr>
            <w:tcW w:w="1559"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2.7 ± 2.6</w:t>
            </w:r>
          </w:p>
        </w:tc>
        <w:tc>
          <w:tcPr>
            <w:tcW w:w="993" w:type="dxa"/>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0.137</w:t>
            </w:r>
          </w:p>
        </w:tc>
      </w:tr>
      <w:tr w:rsidR="00B76A03" w:rsidRPr="005A5A08" w:rsidTr="00FE4214">
        <w:tblPrEx>
          <w:tblLook w:val="0000"/>
        </w:tblPrEx>
        <w:trPr>
          <w:trHeight w:val="328"/>
        </w:trPr>
        <w:tc>
          <w:tcPr>
            <w:tcW w:w="4244" w:type="dxa"/>
            <w:tcBorders>
              <w:bottom w:val="single" w:sz="4" w:space="0" w:color="auto"/>
            </w:tcBorders>
          </w:tcPr>
          <w:p w:rsidR="00B76A03" w:rsidRPr="00FE4214" w:rsidRDefault="00B76A03" w:rsidP="00FE4214">
            <w:pPr>
              <w:pStyle w:val="matn"/>
              <w:rPr>
                <w:rFonts w:ascii="Times New Roman" w:hAnsi="Times New Roman" w:cs="Times New Roman"/>
                <w:sz w:val="20"/>
                <w:szCs w:val="20"/>
              </w:rPr>
            </w:pPr>
            <w:r w:rsidRPr="00FE4214">
              <w:rPr>
                <w:rFonts w:ascii="Times New Roman" w:hAnsi="Times New Roman" w:cs="Times New Roman"/>
                <w:sz w:val="20"/>
                <w:szCs w:val="20"/>
              </w:rPr>
              <w:t xml:space="preserve">Number of hospital admission day after operation </w:t>
            </w:r>
          </w:p>
        </w:tc>
        <w:tc>
          <w:tcPr>
            <w:tcW w:w="1559" w:type="dxa"/>
            <w:tcBorders>
              <w:bottom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4.3 ± 1.8</w:t>
            </w:r>
          </w:p>
        </w:tc>
        <w:tc>
          <w:tcPr>
            <w:tcW w:w="1559" w:type="dxa"/>
            <w:tcBorders>
              <w:bottom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3.8 ± 1.3</w:t>
            </w:r>
          </w:p>
        </w:tc>
        <w:tc>
          <w:tcPr>
            <w:tcW w:w="1559" w:type="dxa"/>
            <w:tcBorders>
              <w:bottom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4.1 ± 1.6</w:t>
            </w:r>
          </w:p>
        </w:tc>
        <w:tc>
          <w:tcPr>
            <w:tcW w:w="993" w:type="dxa"/>
            <w:tcBorders>
              <w:bottom w:val="single" w:sz="4" w:space="0" w:color="auto"/>
            </w:tcBorders>
          </w:tcPr>
          <w:p w:rsidR="00B76A03" w:rsidRPr="005A5A08" w:rsidRDefault="00B76A03"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0.042</w:t>
            </w:r>
          </w:p>
        </w:tc>
      </w:tr>
    </w:tbl>
    <w:p w:rsidR="00B76A03" w:rsidRPr="00FE4214" w:rsidRDefault="00B76A03" w:rsidP="0058037F">
      <w:pPr>
        <w:pStyle w:val="matn"/>
        <w:spacing w:before="60"/>
        <w:rPr>
          <w:sz w:val="18"/>
          <w:szCs w:val="22"/>
        </w:rPr>
      </w:pPr>
      <w:r w:rsidRPr="00FE4214">
        <w:rPr>
          <w:sz w:val="18"/>
          <w:szCs w:val="22"/>
        </w:rPr>
        <w:t>Independent sample test (mean ± SD)</w:t>
      </w:r>
    </w:p>
    <w:p w:rsidR="00B76A03" w:rsidRDefault="00B76A03" w:rsidP="00B76A03">
      <w:pPr>
        <w:pStyle w:val="matn"/>
        <w:rPr>
          <w:sz w:val="18"/>
          <w:szCs w:val="22"/>
        </w:rPr>
      </w:pPr>
      <w:r w:rsidRPr="00FE4214">
        <w:rPr>
          <w:sz w:val="18"/>
          <w:szCs w:val="22"/>
        </w:rPr>
        <w:t xml:space="preserve">* Visual analogue scale </w:t>
      </w:r>
    </w:p>
    <w:p w:rsidR="00FE4214" w:rsidRPr="00FE4214" w:rsidRDefault="00FE4214" w:rsidP="00B76A03">
      <w:pPr>
        <w:pStyle w:val="matn"/>
        <w:rPr>
          <w:sz w:val="18"/>
          <w:szCs w:val="22"/>
        </w:rPr>
      </w:pPr>
    </w:p>
    <w:p w:rsidR="00B76A03" w:rsidRDefault="00B76A03" w:rsidP="00E97607">
      <w:pPr>
        <w:pStyle w:val="matn"/>
        <w:sectPr w:rsidR="00B76A03" w:rsidSect="00B76A03">
          <w:type w:val="continuous"/>
          <w:pgSz w:w="11907" w:h="16840" w:code="9"/>
          <w:pgMar w:top="1814" w:right="1134" w:bottom="1701" w:left="1134" w:header="1247" w:footer="1247" w:gutter="0"/>
          <w:cols w:space="425"/>
          <w:titlePg/>
          <w:docGrid w:linePitch="360"/>
        </w:sectPr>
      </w:pPr>
    </w:p>
    <w:p w:rsidR="00E97607" w:rsidRPr="00E97607" w:rsidRDefault="00A94C25" w:rsidP="00FE4214">
      <w:pPr>
        <w:pStyle w:val="matn"/>
      </w:pPr>
      <w:r w:rsidRPr="00A94C25">
        <w:lastRenderedPageBreak/>
        <w:tab/>
      </w:r>
      <w:r w:rsidR="00E97607" w:rsidRPr="00E97607">
        <w:t>There was no significant difference between two groups regarding the abundance of card</w:t>
      </w:r>
      <w:r w:rsidR="00E97607" w:rsidRPr="00E97607">
        <w:t>i</w:t>
      </w:r>
      <w:r w:rsidR="00E97607" w:rsidRPr="00E97607">
        <w:t>ovascular and respiratory complications (Table 3). No patients in either group suffered from cardiac insufficiency, deep vein thrombosis, or cerebral events. In the NA group, one patient developed pulmonary emboli on the 4</w:t>
      </w:r>
      <w:r w:rsidR="00E97607" w:rsidRPr="00E97607">
        <w:rPr>
          <w:vertAlign w:val="superscript"/>
        </w:rPr>
        <w:t>th</w:t>
      </w:r>
      <w:r w:rsidR="00E97607" w:rsidRPr="00E97607">
        <w:t xml:space="preserve"> pos</w:t>
      </w:r>
      <w:r w:rsidR="00E97607" w:rsidRPr="00E97607">
        <w:t>t</w:t>
      </w:r>
      <w:r w:rsidR="00E97607" w:rsidRPr="00E97607">
        <w:t xml:space="preserve">operative day. </w:t>
      </w:r>
    </w:p>
    <w:p w:rsidR="00E97607" w:rsidRPr="00E97607" w:rsidRDefault="00A94C25" w:rsidP="00A640D9">
      <w:pPr>
        <w:pStyle w:val="matn"/>
      </w:pPr>
      <w:r w:rsidRPr="00A94C25">
        <w:tab/>
      </w:r>
      <w:r w:rsidR="00E97607" w:rsidRPr="00A94C25">
        <w:t xml:space="preserve">The number of patients who developed cognitive dysfunction in recovery room was </w:t>
      </w:r>
      <w:r w:rsidR="00FD4783" w:rsidRPr="00A94C25">
        <w:t>signifycantly higher in the GA group co</w:t>
      </w:r>
      <w:r w:rsidR="00FD4783" w:rsidRPr="00A94C25">
        <w:t>m</w:t>
      </w:r>
      <w:r w:rsidR="00FD4783" w:rsidRPr="00A94C25">
        <w:t>pared with</w:t>
      </w:r>
      <w:r>
        <w:t xml:space="preserve"> </w:t>
      </w:r>
      <w:r w:rsidR="00E97607" w:rsidRPr="00E97607">
        <w:t>the NA group.</w:t>
      </w:r>
      <w:r w:rsidR="00FE4214">
        <w:t xml:space="preserve"> </w:t>
      </w:r>
    </w:p>
    <w:p w:rsidR="00E97607" w:rsidRPr="00E97607" w:rsidRDefault="00A94C25" w:rsidP="00FE4214">
      <w:pPr>
        <w:pStyle w:val="matn"/>
      </w:pPr>
      <w:r w:rsidRPr="00A94C25">
        <w:tab/>
      </w:r>
      <w:r w:rsidR="00E97607" w:rsidRPr="00E97607">
        <w:t xml:space="preserve">Although the number of patients who died was more in the NA group, but no significant difference was found between the two groups </w:t>
      </w:r>
      <w:r w:rsidR="00FE4214">
        <w:br w:type="column"/>
      </w:r>
      <w:r w:rsidR="00E97607" w:rsidRPr="00E97607">
        <w:lastRenderedPageBreak/>
        <w:t>for in-hospital and out-hospital mortality.</w:t>
      </w:r>
    </w:p>
    <w:p w:rsidR="00FE4214" w:rsidRDefault="00FE4214" w:rsidP="00FE4214">
      <w:pPr>
        <w:pStyle w:val="matn"/>
      </w:pPr>
      <w:r>
        <w:tab/>
      </w:r>
      <w:r w:rsidR="00E97607" w:rsidRPr="00E97607">
        <w:t>The abundance of the cardiac and respirat</w:t>
      </w:r>
      <w:r w:rsidR="00E97607" w:rsidRPr="00E97607">
        <w:t>o</w:t>
      </w:r>
      <w:r w:rsidR="00E97607" w:rsidRPr="00E97607">
        <w:t>ry complications is shown in table 4. On the 2</w:t>
      </w:r>
      <w:r w:rsidR="00E97607" w:rsidRPr="00E97607">
        <w:rPr>
          <w:vertAlign w:val="superscript"/>
        </w:rPr>
        <w:t>nd</w:t>
      </w:r>
      <w:r w:rsidR="00E97607" w:rsidRPr="00E97607">
        <w:t xml:space="preserve"> </w:t>
      </w:r>
      <w:r w:rsidR="005A5A08" w:rsidRPr="005A5A08">
        <w:t>postoperative day, there was a greater inc</w:t>
      </w:r>
      <w:r w:rsidR="005A5A08" w:rsidRPr="005A5A08">
        <w:t>i</w:t>
      </w:r>
      <w:r w:rsidR="005A5A08" w:rsidRPr="005A5A08">
        <w:t xml:space="preserve">dence of cardiac ischemic events and </w:t>
      </w:r>
      <w:r w:rsidR="00A27741" w:rsidRPr="00A27741">
        <w:rPr>
          <w:spacing w:val="-14"/>
        </w:rPr>
        <w:t>respiratory</w:t>
      </w:r>
      <w:r w:rsidRPr="00FE4214">
        <w:t xml:space="preserve"> </w:t>
      </w:r>
      <w:r w:rsidRPr="00A27741">
        <w:t>complications in both groups. Also, myocard</w:t>
      </w:r>
      <w:r w:rsidRPr="00A27741">
        <w:t>i</w:t>
      </w:r>
      <w:r w:rsidRPr="00A27741">
        <w:t>al infarction was reported more on the 3</w:t>
      </w:r>
      <w:r w:rsidRPr="00A27741">
        <w:rPr>
          <w:vertAlign w:val="superscript"/>
        </w:rPr>
        <w:t>rd</w:t>
      </w:r>
      <w:r w:rsidRPr="00A27741">
        <w:t xml:space="preserve"> </w:t>
      </w:r>
      <w:r w:rsidRPr="00FD4783">
        <w:t>postoperative day, although this difference was not statistically significant.</w:t>
      </w:r>
      <w:r>
        <w:t xml:space="preserve"> </w:t>
      </w:r>
      <w:r w:rsidRPr="0058037F">
        <w:t>The mean of</w:t>
      </w:r>
      <w:r>
        <w:t xml:space="preserve"> </w:t>
      </w:r>
      <w:r w:rsidRPr="0058037F">
        <w:t>ephedrine doses (0.8 ± 4.4 vs. 3.2 ± 8.1 mg</w:t>
      </w:r>
      <w:r w:rsidRPr="00FE4214">
        <w:t xml:space="preserve"> </w:t>
      </w:r>
      <w:r w:rsidRPr="0058037F">
        <w:t>a</w:t>
      </w:r>
      <w:r w:rsidRPr="0058037F">
        <w:t>d</w:t>
      </w:r>
      <w:r w:rsidRPr="0058037F">
        <w:t>ministered to the GA and NA groups</w:t>
      </w:r>
      <w:r w:rsidRPr="00FE4214">
        <w:t xml:space="preserve"> </w:t>
      </w:r>
      <w:r w:rsidRPr="0058037F">
        <w:t>respe</w:t>
      </w:r>
      <w:r w:rsidRPr="0058037F">
        <w:t>c</w:t>
      </w:r>
      <w:r w:rsidRPr="0058037F">
        <w:t>tively) was statistically significant (p &lt; 0.001). Also, the mean of morphine consumption</w:t>
      </w:r>
      <w:r w:rsidRPr="00FE4214">
        <w:t xml:space="preserve"> </w:t>
      </w:r>
      <w:r w:rsidRPr="0058037F">
        <w:t>in the GA group (5.0 ± 6.3 mg) was higher than the NA group (3.4 ± 7.4 mg) (p = 0.004).</w:t>
      </w:r>
    </w:p>
    <w:p w:rsidR="00C918E5" w:rsidRDefault="00C918E5" w:rsidP="00FE4214">
      <w:pPr>
        <w:pStyle w:val="matn"/>
        <w:rPr>
          <w:b/>
          <w:bCs/>
        </w:rPr>
        <w:sectPr w:rsidR="00C918E5" w:rsidSect="0061636D">
          <w:type w:val="continuous"/>
          <w:pgSz w:w="11907" w:h="16840" w:code="9"/>
          <w:pgMar w:top="1814" w:right="1134" w:bottom="1701" w:left="1134" w:header="1247" w:footer="1247" w:gutter="0"/>
          <w:cols w:num="2" w:space="425"/>
          <w:titlePg/>
          <w:docGrid w:linePitch="360"/>
        </w:sectPr>
      </w:pPr>
    </w:p>
    <w:p w:rsidR="00FE4214" w:rsidRDefault="00FE4214" w:rsidP="00C918E5">
      <w:pPr>
        <w:pStyle w:val="matn"/>
        <w:rPr>
          <w:b/>
          <w:bCs/>
        </w:rPr>
      </w:pPr>
    </w:p>
    <w:p w:rsidR="00C918E5" w:rsidRPr="00B463CE" w:rsidRDefault="00C918E5" w:rsidP="00A640D9">
      <w:pPr>
        <w:pStyle w:val="matn"/>
        <w:rPr>
          <w:rFonts w:ascii="Bookman Old Style" w:hAnsi="Bookman Old Style" w:cs="Times New Roman"/>
          <w:bCs/>
          <w:sz w:val="20"/>
          <w:szCs w:val="28"/>
        </w:rPr>
      </w:pPr>
      <w:r w:rsidRPr="00C918E5">
        <w:rPr>
          <w:b/>
          <w:bCs/>
        </w:rPr>
        <w:lastRenderedPageBreak/>
        <w:t>Table 3.</w:t>
      </w:r>
      <w:r w:rsidRPr="00C918E5">
        <w:t xml:space="preserve"> </w:t>
      </w:r>
      <w:r w:rsidRPr="00B463CE">
        <w:rPr>
          <w:rFonts w:ascii="Bookman Old Style" w:hAnsi="Bookman Old Style" w:cs="Times New Roman"/>
          <w:bCs/>
          <w:sz w:val="20"/>
          <w:szCs w:val="28"/>
        </w:rPr>
        <w:t>Frequency of postoperative complications and mortality rate in both groups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8"/>
        <w:gridCol w:w="1687"/>
        <w:gridCol w:w="1800"/>
        <w:gridCol w:w="1867"/>
        <w:gridCol w:w="1553"/>
      </w:tblGrid>
      <w:tr w:rsidR="00C918E5" w:rsidRPr="00C918E5" w:rsidTr="005348B3">
        <w:tc>
          <w:tcPr>
            <w:tcW w:w="1496" w:type="pct"/>
            <w:tcBorders>
              <w:top w:val="single" w:sz="4" w:space="0" w:color="auto"/>
              <w:left w:val="nil"/>
              <w:bottom w:val="single" w:sz="4" w:space="0" w:color="auto"/>
              <w:right w:val="nil"/>
            </w:tcBorders>
          </w:tcPr>
          <w:p w:rsidR="00C918E5" w:rsidRPr="00C918E5" w:rsidRDefault="00C918E5" w:rsidP="00C918E5">
            <w:pPr>
              <w:pStyle w:val="matn"/>
              <w:jc w:val="center"/>
              <w:rPr>
                <w:rFonts w:ascii="Times New Roman" w:hAnsi="Times New Roman" w:cs="Times New Roman"/>
                <w:b/>
                <w:bCs/>
                <w:sz w:val="20"/>
                <w:szCs w:val="20"/>
              </w:rPr>
            </w:pPr>
          </w:p>
        </w:tc>
        <w:tc>
          <w:tcPr>
            <w:tcW w:w="856" w:type="pct"/>
            <w:tcBorders>
              <w:left w:val="nil"/>
              <w:bottom w:val="single" w:sz="4" w:space="0" w:color="auto"/>
              <w:right w:val="nil"/>
            </w:tcBorders>
          </w:tcPr>
          <w:p w:rsidR="00C918E5" w:rsidRPr="00C918E5" w:rsidRDefault="00C918E5"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GA (n = 197)</w:t>
            </w:r>
          </w:p>
        </w:tc>
        <w:tc>
          <w:tcPr>
            <w:tcW w:w="913" w:type="pct"/>
            <w:tcBorders>
              <w:left w:val="nil"/>
              <w:bottom w:val="single" w:sz="4" w:space="0" w:color="auto"/>
              <w:right w:val="nil"/>
            </w:tcBorders>
          </w:tcPr>
          <w:p w:rsidR="00C918E5" w:rsidRPr="00C918E5" w:rsidRDefault="00C918E5"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NB (n = 190)</w:t>
            </w:r>
          </w:p>
        </w:tc>
        <w:tc>
          <w:tcPr>
            <w:tcW w:w="947" w:type="pct"/>
            <w:tcBorders>
              <w:left w:val="nil"/>
              <w:bottom w:val="single" w:sz="4" w:space="0" w:color="auto"/>
              <w:right w:val="nil"/>
            </w:tcBorders>
          </w:tcPr>
          <w:p w:rsidR="00C918E5" w:rsidRPr="00C918E5" w:rsidRDefault="00C918E5"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Total (n = 387)</w:t>
            </w:r>
          </w:p>
        </w:tc>
        <w:tc>
          <w:tcPr>
            <w:tcW w:w="788" w:type="pct"/>
            <w:tcBorders>
              <w:left w:val="nil"/>
              <w:bottom w:val="single" w:sz="4" w:space="0" w:color="auto"/>
              <w:right w:val="nil"/>
            </w:tcBorders>
          </w:tcPr>
          <w:p w:rsidR="00C918E5" w:rsidRPr="00C918E5" w:rsidRDefault="00C918E5" w:rsidP="00C918E5">
            <w:pPr>
              <w:pStyle w:val="matn"/>
              <w:jc w:val="center"/>
              <w:rPr>
                <w:rFonts w:ascii="Times New Roman" w:hAnsi="Times New Roman" w:cs="Times New Roman"/>
                <w:b/>
                <w:bCs/>
                <w:sz w:val="20"/>
                <w:szCs w:val="20"/>
              </w:rPr>
            </w:pPr>
            <w:r w:rsidRPr="00C918E5">
              <w:rPr>
                <w:rFonts w:ascii="Times New Roman" w:hAnsi="Times New Roman" w:cs="Times New Roman"/>
                <w:b/>
                <w:bCs/>
                <w:sz w:val="20"/>
                <w:szCs w:val="20"/>
              </w:rPr>
              <w:t>P value</w:t>
            </w:r>
          </w:p>
        </w:tc>
      </w:tr>
      <w:tr w:rsidR="00C918E5" w:rsidRPr="00C918E5" w:rsidTr="005348B3">
        <w:trPr>
          <w:trHeight w:val="132"/>
        </w:trPr>
        <w:tc>
          <w:tcPr>
            <w:tcW w:w="1496" w:type="pct"/>
            <w:tcBorders>
              <w:top w:val="single" w:sz="4" w:space="0" w:color="auto"/>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Cardiovascular:</w:t>
            </w:r>
          </w:p>
        </w:tc>
        <w:tc>
          <w:tcPr>
            <w:tcW w:w="856" w:type="pct"/>
            <w:tcBorders>
              <w:top w:val="single" w:sz="4" w:space="0" w:color="auto"/>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13" w:type="pct"/>
            <w:tcBorders>
              <w:top w:val="single" w:sz="4" w:space="0" w:color="auto"/>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47" w:type="pct"/>
            <w:tcBorders>
              <w:top w:val="single" w:sz="4" w:space="0" w:color="auto"/>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788" w:type="pct"/>
            <w:tcBorders>
              <w:top w:val="single" w:sz="4" w:space="0" w:color="auto"/>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157"/>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Myocardial ischemia</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8 (4.1)</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5 (3.1)</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13 (3.6)</w:t>
            </w:r>
          </w:p>
        </w:tc>
        <w:tc>
          <w:tcPr>
            <w:tcW w:w="788" w:type="pct"/>
            <w:vMerge w:val="restart"/>
            <w:tcBorders>
              <w:top w:val="nil"/>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0.874</w:t>
            </w:r>
          </w:p>
        </w:tc>
      </w:tr>
      <w:tr w:rsidR="00C918E5" w:rsidRPr="00C918E5" w:rsidTr="00FE4214">
        <w:trPr>
          <w:trHeight w:val="5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Myocardial infarction</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(0.5)</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(0.6)</w:t>
            </w:r>
          </w:p>
        </w:tc>
        <w:tc>
          <w:tcPr>
            <w:tcW w:w="788" w:type="pct"/>
            <w:vMerge/>
            <w:tcBorders>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5348B3">
        <w:trPr>
          <w:trHeight w:val="186"/>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 xml:space="preserve">Total </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9 (1.5)</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6 (3.6)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15 (4.2)</w:t>
            </w:r>
          </w:p>
        </w:tc>
        <w:tc>
          <w:tcPr>
            <w:tcW w:w="788" w:type="pct"/>
            <w:vMerge/>
            <w:tcBorders>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166"/>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Respiratory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5348B3">
        <w:trPr>
          <w:trHeight w:val="222"/>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 xml:space="preserve">Atelectasis </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(15)</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 (1.1)</w:t>
            </w:r>
          </w:p>
        </w:tc>
        <w:tc>
          <w:tcPr>
            <w:tcW w:w="788" w:type="pct"/>
            <w:vMerge w:val="restart"/>
            <w:tcBorders>
              <w:top w:val="nil"/>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0.392</w:t>
            </w:r>
          </w:p>
        </w:tc>
      </w:tr>
      <w:tr w:rsidR="00C918E5" w:rsidRPr="00C918E5" w:rsidTr="00FE4214">
        <w:trPr>
          <w:trHeight w:val="192"/>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Pneumonia</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788" w:type="pct"/>
            <w:vMerge/>
            <w:tcBorders>
              <w:top w:val="single" w:sz="4" w:space="0" w:color="auto"/>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9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Total</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(1.5)</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(1.2)</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5 (1.3)</w:t>
            </w:r>
          </w:p>
        </w:tc>
        <w:tc>
          <w:tcPr>
            <w:tcW w:w="788" w:type="pct"/>
            <w:vMerge/>
            <w:tcBorders>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5348B3">
        <w:trPr>
          <w:trHeight w:val="205"/>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Cognitive:</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22 (11.2)</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7 (4.3)</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29 (8)</w:t>
            </w: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0.016</w:t>
            </w:r>
          </w:p>
        </w:tc>
      </w:tr>
      <w:tr w:rsidR="00C918E5" w:rsidRPr="00C918E5" w:rsidTr="00FE4214">
        <w:trPr>
          <w:trHeight w:val="76"/>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1st day after surgery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6 (3)</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6 (3.7)</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12 (3.3)</w:t>
            </w: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0.746</w:t>
            </w:r>
          </w:p>
        </w:tc>
      </w:tr>
      <w:tr w:rsidR="00C918E5" w:rsidRPr="00C918E5" w:rsidTr="00FE4214">
        <w:trPr>
          <w:trHeight w:val="6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2nd day after surgery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(1.5)</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 (1.1)</w:t>
            </w: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0.409</w:t>
            </w:r>
          </w:p>
        </w:tc>
      </w:tr>
      <w:tr w:rsidR="00C918E5" w:rsidRPr="00C918E5" w:rsidTr="00FE4214">
        <w:trPr>
          <w:trHeight w:val="157"/>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Every day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26 (13.1)</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12 (7.3)</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38 (10.4)</w:t>
            </w: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0.069</w:t>
            </w:r>
          </w:p>
        </w:tc>
      </w:tr>
      <w:tr w:rsidR="00C918E5" w:rsidRPr="00C918E5" w:rsidTr="00FE4214">
        <w:trPr>
          <w:trHeight w:val="6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Hospital death:</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6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1st day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788" w:type="pct"/>
            <w:vMerge w:val="restart"/>
            <w:tcBorders>
              <w:top w:val="nil"/>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0.107</w:t>
            </w:r>
          </w:p>
        </w:tc>
      </w:tr>
      <w:tr w:rsidR="00C918E5" w:rsidRPr="00C918E5" w:rsidTr="00FE4214">
        <w:trPr>
          <w:trHeight w:val="84"/>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 xml:space="preserve">The 2nd day </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788" w:type="pct"/>
            <w:vMerge/>
            <w:tcBorders>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120"/>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3rd day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(1.8)</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(0.8)</w:t>
            </w:r>
          </w:p>
        </w:tc>
        <w:tc>
          <w:tcPr>
            <w:tcW w:w="788" w:type="pct"/>
            <w:vMerge/>
            <w:tcBorders>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148"/>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Out-hospital death:</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p>
        </w:tc>
        <w:tc>
          <w:tcPr>
            <w:tcW w:w="788" w:type="pct"/>
            <w:tcBorders>
              <w:top w:val="nil"/>
              <w:left w:val="nil"/>
              <w:bottom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p>
        </w:tc>
      </w:tr>
      <w:tr w:rsidR="00C918E5" w:rsidRPr="00C918E5" w:rsidTr="00FE4214">
        <w:trPr>
          <w:trHeight w:val="103"/>
        </w:trPr>
        <w:tc>
          <w:tcPr>
            <w:tcW w:w="1496" w:type="pct"/>
            <w:tcBorders>
              <w:top w:val="nil"/>
              <w:left w:val="nil"/>
              <w:bottom w:val="nil"/>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9th day</w:t>
            </w:r>
          </w:p>
        </w:tc>
        <w:tc>
          <w:tcPr>
            <w:tcW w:w="856"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nil"/>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788" w:type="pct"/>
            <w:vMerge w:val="restart"/>
            <w:tcBorders>
              <w:top w:val="nil"/>
              <w:left w:val="nil"/>
              <w:right w:val="nil"/>
            </w:tcBorders>
            <w:vAlign w:val="center"/>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0.299</w:t>
            </w:r>
          </w:p>
        </w:tc>
      </w:tr>
      <w:tr w:rsidR="00C918E5" w:rsidRPr="00C918E5" w:rsidTr="00FE4214">
        <w:trPr>
          <w:trHeight w:val="53"/>
        </w:trPr>
        <w:tc>
          <w:tcPr>
            <w:tcW w:w="1496" w:type="pct"/>
            <w:tcBorders>
              <w:top w:val="nil"/>
              <w:left w:val="nil"/>
              <w:bottom w:val="single" w:sz="4" w:space="0" w:color="auto"/>
              <w:right w:val="nil"/>
            </w:tcBorders>
          </w:tcPr>
          <w:p w:rsidR="00C918E5" w:rsidRPr="005A5A08" w:rsidRDefault="00C918E5" w:rsidP="00C918E5">
            <w:pPr>
              <w:pStyle w:val="matn"/>
              <w:rPr>
                <w:rFonts w:ascii="Times New Roman" w:hAnsi="Times New Roman" w:cs="Times New Roman"/>
                <w:sz w:val="20"/>
                <w:szCs w:val="20"/>
              </w:rPr>
            </w:pPr>
            <w:r w:rsidRPr="005A5A08">
              <w:rPr>
                <w:rFonts w:ascii="Times New Roman" w:hAnsi="Times New Roman" w:cs="Times New Roman"/>
                <w:sz w:val="20"/>
                <w:szCs w:val="20"/>
              </w:rPr>
              <w:t>The 10th day</w:t>
            </w:r>
          </w:p>
        </w:tc>
        <w:tc>
          <w:tcPr>
            <w:tcW w:w="856" w:type="pct"/>
            <w:tcBorders>
              <w:top w:val="nil"/>
              <w:left w:val="nil"/>
              <w:bottom w:val="single" w:sz="4" w:space="0" w:color="auto"/>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913" w:type="pct"/>
            <w:tcBorders>
              <w:top w:val="nil"/>
              <w:left w:val="nil"/>
              <w:bottom w:val="single" w:sz="4" w:space="0" w:color="auto"/>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947" w:type="pct"/>
            <w:tcBorders>
              <w:top w:val="nil"/>
              <w:left w:val="nil"/>
              <w:bottom w:val="single" w:sz="4" w:space="0" w:color="auto"/>
              <w:right w:val="nil"/>
            </w:tcBorders>
          </w:tcPr>
          <w:p w:rsidR="00C918E5" w:rsidRPr="005A5A08" w:rsidRDefault="00C918E5"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788" w:type="pct"/>
            <w:vMerge/>
            <w:tcBorders>
              <w:left w:val="nil"/>
              <w:bottom w:val="single" w:sz="4" w:space="0" w:color="auto"/>
              <w:right w:val="nil"/>
            </w:tcBorders>
          </w:tcPr>
          <w:p w:rsidR="00C918E5" w:rsidRPr="00C918E5" w:rsidRDefault="00C918E5" w:rsidP="00C918E5">
            <w:pPr>
              <w:pStyle w:val="matn"/>
            </w:pPr>
          </w:p>
        </w:tc>
      </w:tr>
    </w:tbl>
    <w:p w:rsidR="00C918E5" w:rsidRPr="00FE4214" w:rsidRDefault="00C918E5" w:rsidP="00C918E5">
      <w:pPr>
        <w:pStyle w:val="matn"/>
        <w:rPr>
          <w:sz w:val="18"/>
          <w:szCs w:val="22"/>
        </w:rPr>
      </w:pPr>
      <w:r w:rsidRPr="00FE4214">
        <w:rPr>
          <w:sz w:val="18"/>
          <w:szCs w:val="22"/>
        </w:rPr>
        <w:t>Chi-square Test</w:t>
      </w:r>
    </w:p>
    <w:p w:rsidR="00C918E5" w:rsidRPr="00FE4214" w:rsidRDefault="00C918E5" w:rsidP="00E97607">
      <w:pPr>
        <w:pStyle w:val="matn"/>
      </w:pPr>
    </w:p>
    <w:p w:rsidR="002C1626" w:rsidRPr="002C1626" w:rsidRDefault="002C1626" w:rsidP="00B463CE">
      <w:pPr>
        <w:pStyle w:val="matn"/>
        <w:jc w:val="center"/>
      </w:pPr>
      <w:r w:rsidRPr="002C1626">
        <w:rPr>
          <w:b/>
          <w:bCs/>
        </w:rPr>
        <w:t>Table 4</w:t>
      </w:r>
      <w:r w:rsidRPr="00B463CE">
        <w:rPr>
          <w:rFonts w:ascii="Bookman Old Style" w:hAnsi="Bookman Old Style" w:cs="Times New Roman"/>
          <w:bCs/>
          <w:sz w:val="20"/>
          <w:szCs w:val="28"/>
        </w:rPr>
        <w:t>. Frequency of cardiovascular and respiratory complications on the basis of postoperative days in both groups</w:t>
      </w:r>
      <w:r w:rsidR="00FE4214">
        <w:rPr>
          <w:rFonts w:ascii="Bookman Old Style" w:hAnsi="Bookman Old Style" w:cs="Times New Roman"/>
          <w:bCs/>
          <w:sz w:val="20"/>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1693"/>
        <w:gridCol w:w="1693"/>
        <w:gridCol w:w="1695"/>
        <w:gridCol w:w="1693"/>
      </w:tblGrid>
      <w:tr w:rsidR="002C1626" w:rsidRPr="002C1626" w:rsidTr="005A5A08">
        <w:tc>
          <w:tcPr>
            <w:tcW w:w="1563" w:type="pct"/>
            <w:tcBorders>
              <w:top w:val="single" w:sz="4" w:space="0" w:color="auto"/>
              <w:left w:val="nil"/>
              <w:bottom w:val="single" w:sz="4" w:space="0" w:color="auto"/>
              <w:right w:val="nil"/>
            </w:tcBorders>
          </w:tcPr>
          <w:p w:rsidR="002C1626" w:rsidRPr="002C1626" w:rsidRDefault="002C1626" w:rsidP="002C1626">
            <w:pPr>
              <w:pStyle w:val="matn"/>
            </w:pPr>
          </w:p>
        </w:tc>
        <w:tc>
          <w:tcPr>
            <w:tcW w:w="859" w:type="pct"/>
            <w:tcBorders>
              <w:top w:val="single" w:sz="4" w:space="0" w:color="auto"/>
              <w:left w:val="nil"/>
              <w:bottom w:val="single" w:sz="4" w:space="0" w:color="auto"/>
              <w:right w:val="nil"/>
            </w:tcBorders>
          </w:tcPr>
          <w:p w:rsidR="002C1626" w:rsidRPr="002C1626" w:rsidRDefault="002C1626" w:rsidP="002C1626">
            <w:pPr>
              <w:pStyle w:val="matn"/>
              <w:jc w:val="center"/>
              <w:rPr>
                <w:rFonts w:ascii="Times New Roman" w:hAnsi="Times New Roman" w:cs="Times New Roman"/>
                <w:b/>
                <w:bCs/>
                <w:sz w:val="20"/>
                <w:szCs w:val="20"/>
              </w:rPr>
            </w:pPr>
            <w:r w:rsidRPr="002C1626">
              <w:rPr>
                <w:rFonts w:ascii="Times New Roman" w:hAnsi="Times New Roman" w:cs="Times New Roman"/>
                <w:b/>
                <w:bCs/>
                <w:sz w:val="20"/>
                <w:szCs w:val="20"/>
              </w:rPr>
              <w:t>GA (n = 197)</w:t>
            </w:r>
          </w:p>
        </w:tc>
        <w:tc>
          <w:tcPr>
            <w:tcW w:w="859" w:type="pct"/>
            <w:tcBorders>
              <w:top w:val="single" w:sz="4" w:space="0" w:color="auto"/>
              <w:left w:val="nil"/>
              <w:bottom w:val="single" w:sz="4" w:space="0" w:color="auto"/>
              <w:right w:val="nil"/>
            </w:tcBorders>
          </w:tcPr>
          <w:p w:rsidR="002C1626" w:rsidRPr="002C1626" w:rsidRDefault="002C1626" w:rsidP="002C1626">
            <w:pPr>
              <w:pStyle w:val="matn"/>
              <w:jc w:val="center"/>
              <w:rPr>
                <w:rFonts w:ascii="Times New Roman" w:hAnsi="Times New Roman" w:cs="Times New Roman"/>
                <w:b/>
                <w:bCs/>
                <w:sz w:val="20"/>
                <w:szCs w:val="20"/>
              </w:rPr>
            </w:pPr>
            <w:r w:rsidRPr="002C1626">
              <w:rPr>
                <w:rFonts w:ascii="Times New Roman" w:hAnsi="Times New Roman" w:cs="Times New Roman"/>
                <w:b/>
                <w:bCs/>
                <w:sz w:val="20"/>
                <w:szCs w:val="20"/>
              </w:rPr>
              <w:t>NB (n = 190)</w:t>
            </w:r>
          </w:p>
        </w:tc>
        <w:tc>
          <w:tcPr>
            <w:tcW w:w="860" w:type="pct"/>
            <w:tcBorders>
              <w:top w:val="single" w:sz="4" w:space="0" w:color="auto"/>
              <w:left w:val="nil"/>
              <w:bottom w:val="single" w:sz="4" w:space="0" w:color="auto"/>
              <w:right w:val="nil"/>
            </w:tcBorders>
          </w:tcPr>
          <w:p w:rsidR="002C1626" w:rsidRPr="002C1626" w:rsidRDefault="002C1626" w:rsidP="002C1626">
            <w:pPr>
              <w:pStyle w:val="matn"/>
              <w:jc w:val="center"/>
              <w:rPr>
                <w:rFonts w:ascii="Times New Roman" w:hAnsi="Times New Roman" w:cs="Times New Roman"/>
                <w:b/>
                <w:bCs/>
                <w:sz w:val="20"/>
                <w:szCs w:val="20"/>
              </w:rPr>
            </w:pPr>
            <w:r w:rsidRPr="002C1626">
              <w:rPr>
                <w:rFonts w:ascii="Times New Roman" w:hAnsi="Times New Roman" w:cs="Times New Roman"/>
                <w:b/>
                <w:bCs/>
                <w:sz w:val="20"/>
                <w:szCs w:val="20"/>
              </w:rPr>
              <w:t>Total (n = 387)</w:t>
            </w:r>
          </w:p>
        </w:tc>
        <w:tc>
          <w:tcPr>
            <w:tcW w:w="860" w:type="pct"/>
            <w:tcBorders>
              <w:top w:val="single" w:sz="4" w:space="0" w:color="auto"/>
              <w:left w:val="nil"/>
              <w:bottom w:val="single" w:sz="4" w:space="0" w:color="auto"/>
              <w:right w:val="nil"/>
            </w:tcBorders>
          </w:tcPr>
          <w:p w:rsidR="002C1626" w:rsidRPr="002C1626" w:rsidRDefault="002C1626" w:rsidP="002C1626">
            <w:pPr>
              <w:pStyle w:val="matn"/>
              <w:jc w:val="center"/>
              <w:rPr>
                <w:rFonts w:ascii="Times New Roman" w:hAnsi="Times New Roman" w:cs="Times New Roman"/>
                <w:b/>
                <w:bCs/>
                <w:sz w:val="20"/>
                <w:szCs w:val="20"/>
              </w:rPr>
            </w:pPr>
            <w:r w:rsidRPr="002C1626">
              <w:rPr>
                <w:rFonts w:ascii="Times New Roman" w:hAnsi="Times New Roman" w:cs="Times New Roman"/>
                <w:b/>
                <w:bCs/>
                <w:sz w:val="20"/>
                <w:szCs w:val="20"/>
              </w:rPr>
              <w:t>P</w:t>
            </w:r>
          </w:p>
        </w:tc>
      </w:tr>
      <w:tr w:rsidR="002C1626" w:rsidRPr="002C1626" w:rsidTr="00FE4214">
        <w:trPr>
          <w:trHeight w:val="138"/>
        </w:trPr>
        <w:tc>
          <w:tcPr>
            <w:tcW w:w="1563" w:type="pct"/>
            <w:tcBorders>
              <w:top w:val="single" w:sz="4" w:space="0" w:color="auto"/>
              <w:left w:val="nil"/>
              <w:bottom w:val="nil"/>
              <w:right w:val="nil"/>
            </w:tcBorders>
          </w:tcPr>
          <w:p w:rsidR="002C1626" w:rsidRPr="005A5A08" w:rsidRDefault="002C1626" w:rsidP="002C1626">
            <w:pPr>
              <w:pStyle w:val="matn"/>
              <w:rPr>
                <w:rFonts w:ascii="Times New Roman" w:hAnsi="Times New Roman" w:cs="Times New Roman"/>
                <w:sz w:val="20"/>
                <w:szCs w:val="20"/>
              </w:rPr>
            </w:pPr>
            <w:r w:rsidRPr="005A5A08">
              <w:rPr>
                <w:rFonts w:ascii="Times New Roman" w:hAnsi="Times New Roman" w:cs="Times New Roman"/>
                <w:sz w:val="20"/>
                <w:szCs w:val="20"/>
              </w:rPr>
              <w:t>Myocardial ischemia:</w:t>
            </w:r>
          </w:p>
        </w:tc>
        <w:tc>
          <w:tcPr>
            <w:tcW w:w="859" w:type="pct"/>
            <w:tcBorders>
              <w:top w:val="single" w:sz="4" w:space="0" w:color="auto"/>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59" w:type="pct"/>
            <w:tcBorders>
              <w:top w:val="single" w:sz="4" w:space="0" w:color="auto"/>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single" w:sz="4" w:space="0" w:color="auto"/>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single" w:sz="4" w:space="0" w:color="auto"/>
              <w:left w:val="nil"/>
              <w:bottom w:val="nil"/>
              <w:right w:val="nil"/>
            </w:tcBorders>
          </w:tcPr>
          <w:p w:rsidR="002C1626" w:rsidRPr="002C1626" w:rsidRDefault="002C1626" w:rsidP="002C1626">
            <w:pPr>
              <w:pStyle w:val="matn"/>
            </w:pPr>
          </w:p>
        </w:tc>
      </w:tr>
      <w:tr w:rsidR="002C1626" w:rsidRPr="002C1626" w:rsidTr="00FE4214">
        <w:trPr>
          <w:trHeight w:val="63"/>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1</w:t>
            </w:r>
            <w:r w:rsidRPr="00FE4214">
              <w:rPr>
                <w:rFonts w:ascii="Times New Roman" w:hAnsi="Times New Roman" w:cs="Times New Roman"/>
                <w:sz w:val="20"/>
                <w:szCs w:val="20"/>
                <w:vertAlign w:val="superscript"/>
              </w:rPr>
              <w:t>st</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(1)</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(0.8)</w:t>
            </w:r>
          </w:p>
        </w:tc>
        <w:tc>
          <w:tcPr>
            <w:tcW w:w="860" w:type="pct"/>
            <w:vMerge w:val="restart"/>
            <w:tcBorders>
              <w:top w:val="nil"/>
              <w:left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0.327</w:t>
            </w:r>
          </w:p>
        </w:tc>
      </w:tr>
      <w:tr w:rsidR="002C1626" w:rsidRPr="002C1626" w:rsidTr="00FE4214">
        <w:trPr>
          <w:trHeight w:val="66"/>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2</w:t>
            </w:r>
            <w:r w:rsidRPr="00FE4214">
              <w:rPr>
                <w:rFonts w:ascii="Times New Roman" w:hAnsi="Times New Roman" w:cs="Times New Roman"/>
                <w:sz w:val="20"/>
                <w:szCs w:val="20"/>
                <w:vertAlign w:val="superscript"/>
              </w:rPr>
              <w:t>nd</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 (2)</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 (1.1)</w:t>
            </w:r>
          </w:p>
        </w:tc>
        <w:tc>
          <w:tcPr>
            <w:tcW w:w="860" w:type="pct"/>
            <w:vMerge/>
            <w:tcBorders>
              <w:left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FE4214">
        <w:trPr>
          <w:trHeight w:val="53"/>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3</w:t>
            </w:r>
            <w:r w:rsidRPr="00FE4214">
              <w:rPr>
                <w:rFonts w:ascii="Times New Roman" w:hAnsi="Times New Roman" w:cs="Times New Roman"/>
                <w:sz w:val="20"/>
                <w:szCs w:val="20"/>
                <w:vertAlign w:val="superscript"/>
              </w:rPr>
              <w:t>rd</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(0.5)</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(1.2)</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(0.8)</w:t>
            </w:r>
          </w:p>
        </w:tc>
        <w:tc>
          <w:tcPr>
            <w:tcW w:w="860" w:type="pct"/>
            <w:vMerge/>
            <w:tcBorders>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5A5A08">
        <w:trPr>
          <w:trHeight w:val="133"/>
        </w:trPr>
        <w:tc>
          <w:tcPr>
            <w:tcW w:w="1563" w:type="pct"/>
            <w:tcBorders>
              <w:top w:val="nil"/>
              <w:left w:val="nil"/>
              <w:bottom w:val="nil"/>
              <w:right w:val="nil"/>
            </w:tcBorders>
          </w:tcPr>
          <w:p w:rsidR="002C1626" w:rsidRPr="005A5A08" w:rsidRDefault="002C1626" w:rsidP="002C1626">
            <w:pPr>
              <w:pStyle w:val="matn"/>
              <w:rPr>
                <w:rFonts w:ascii="Times New Roman" w:hAnsi="Times New Roman" w:cs="Times New Roman"/>
                <w:sz w:val="20"/>
                <w:szCs w:val="20"/>
              </w:rPr>
            </w:pPr>
            <w:r w:rsidRPr="005A5A08">
              <w:rPr>
                <w:rFonts w:ascii="Times New Roman" w:hAnsi="Times New Roman" w:cs="Times New Roman"/>
                <w:sz w:val="20"/>
                <w:szCs w:val="20"/>
              </w:rPr>
              <w:t>Myocardial infarction:</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5A5A08">
        <w:trPr>
          <w:trHeight w:val="151"/>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1</w:t>
            </w:r>
            <w:r w:rsidRPr="00FE4214">
              <w:rPr>
                <w:rFonts w:ascii="Times New Roman" w:hAnsi="Times New Roman" w:cs="Times New Roman"/>
                <w:sz w:val="20"/>
                <w:szCs w:val="20"/>
                <w:vertAlign w:val="superscript"/>
              </w:rPr>
              <w:t>st</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860" w:type="pct"/>
            <w:vMerge w:val="restar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0.461</w:t>
            </w:r>
          </w:p>
        </w:tc>
      </w:tr>
      <w:tr w:rsidR="002C1626" w:rsidRPr="002C1626" w:rsidTr="005A5A08">
        <w:trPr>
          <w:trHeight w:val="155"/>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3</w:t>
            </w:r>
            <w:r w:rsidRPr="00FE4214">
              <w:rPr>
                <w:rFonts w:ascii="Times New Roman" w:hAnsi="Times New Roman" w:cs="Times New Roman"/>
                <w:sz w:val="20"/>
                <w:szCs w:val="20"/>
                <w:vertAlign w:val="superscript"/>
              </w:rPr>
              <w:t>rd</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(0.5)</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(0.6)</w:t>
            </w:r>
          </w:p>
        </w:tc>
        <w:tc>
          <w:tcPr>
            <w:tcW w:w="860" w:type="pct"/>
            <w:vMerge/>
            <w:tcBorders>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5A5A08">
        <w:trPr>
          <w:trHeight w:val="173"/>
        </w:trPr>
        <w:tc>
          <w:tcPr>
            <w:tcW w:w="1563" w:type="pct"/>
            <w:tcBorders>
              <w:top w:val="nil"/>
              <w:left w:val="nil"/>
              <w:bottom w:val="nil"/>
              <w:right w:val="nil"/>
            </w:tcBorders>
          </w:tcPr>
          <w:p w:rsidR="002C1626" w:rsidRPr="005A5A08" w:rsidRDefault="002C1626" w:rsidP="002C1626">
            <w:pPr>
              <w:pStyle w:val="matn"/>
              <w:rPr>
                <w:rFonts w:ascii="Times New Roman" w:hAnsi="Times New Roman" w:cs="Times New Roman"/>
                <w:sz w:val="20"/>
                <w:szCs w:val="20"/>
              </w:rPr>
            </w:pPr>
            <w:r w:rsidRPr="005A5A08">
              <w:rPr>
                <w:rFonts w:ascii="Times New Roman" w:hAnsi="Times New Roman" w:cs="Times New Roman"/>
                <w:sz w:val="20"/>
                <w:szCs w:val="20"/>
              </w:rPr>
              <w:t>Atelectasia:</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5A5A08">
        <w:trPr>
          <w:trHeight w:val="191"/>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1</w:t>
            </w:r>
            <w:r w:rsidRPr="00FE4214">
              <w:rPr>
                <w:rFonts w:ascii="Times New Roman" w:hAnsi="Times New Roman" w:cs="Times New Roman"/>
                <w:sz w:val="20"/>
                <w:szCs w:val="20"/>
                <w:vertAlign w:val="superscript"/>
              </w:rPr>
              <w:t>st</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(0.5)</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860" w:type="pct"/>
            <w:vMerge w:val="restart"/>
            <w:tcBorders>
              <w:top w:val="nil"/>
              <w:left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0.226</w:t>
            </w:r>
          </w:p>
        </w:tc>
      </w:tr>
      <w:tr w:rsidR="002C1626" w:rsidRPr="002C1626" w:rsidTr="005A5A08">
        <w:trPr>
          <w:trHeight w:val="209"/>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2</w:t>
            </w:r>
            <w:r w:rsidRPr="00FE4214">
              <w:rPr>
                <w:rFonts w:ascii="Times New Roman" w:hAnsi="Times New Roman" w:cs="Times New Roman"/>
                <w:sz w:val="20"/>
                <w:szCs w:val="20"/>
                <w:vertAlign w:val="superscript"/>
              </w:rPr>
              <w:t>nd</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3 (1.5)</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4 (1.1)</w:t>
            </w:r>
          </w:p>
        </w:tc>
        <w:tc>
          <w:tcPr>
            <w:tcW w:w="860" w:type="pct"/>
            <w:vMerge/>
            <w:tcBorders>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5A5A08">
        <w:trPr>
          <w:trHeight w:val="86"/>
        </w:trPr>
        <w:tc>
          <w:tcPr>
            <w:tcW w:w="1563" w:type="pct"/>
            <w:tcBorders>
              <w:top w:val="nil"/>
              <w:left w:val="nil"/>
              <w:bottom w:val="nil"/>
              <w:right w:val="nil"/>
            </w:tcBorders>
          </w:tcPr>
          <w:p w:rsidR="002C1626" w:rsidRPr="005A5A08" w:rsidRDefault="002C1626" w:rsidP="002C1626">
            <w:pPr>
              <w:pStyle w:val="matn"/>
              <w:rPr>
                <w:rFonts w:ascii="Times New Roman" w:hAnsi="Times New Roman" w:cs="Times New Roman"/>
                <w:sz w:val="20"/>
                <w:szCs w:val="20"/>
              </w:rPr>
            </w:pPr>
            <w:r w:rsidRPr="005A5A08">
              <w:rPr>
                <w:rFonts w:ascii="Times New Roman" w:hAnsi="Times New Roman" w:cs="Times New Roman"/>
                <w:sz w:val="20"/>
                <w:szCs w:val="20"/>
              </w:rPr>
              <w:t>Pneumoni:</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p>
        </w:tc>
      </w:tr>
      <w:tr w:rsidR="002C1626" w:rsidRPr="002C1626" w:rsidTr="00FE4214">
        <w:trPr>
          <w:trHeight w:val="63"/>
        </w:trPr>
        <w:tc>
          <w:tcPr>
            <w:tcW w:w="1563" w:type="pct"/>
            <w:tcBorders>
              <w:top w:val="nil"/>
              <w:left w:val="nil"/>
              <w:bottom w:val="nil"/>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2</w:t>
            </w:r>
            <w:r w:rsidRPr="00FE4214">
              <w:rPr>
                <w:rFonts w:ascii="Times New Roman" w:hAnsi="Times New Roman" w:cs="Times New Roman"/>
                <w:sz w:val="20"/>
                <w:szCs w:val="20"/>
                <w:vertAlign w:val="superscript"/>
              </w:rPr>
              <w:t>nd</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(0.5)</w:t>
            </w:r>
          </w:p>
        </w:tc>
        <w:tc>
          <w:tcPr>
            <w:tcW w:w="859"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2 (0.5)</w:t>
            </w:r>
          </w:p>
        </w:tc>
        <w:tc>
          <w:tcPr>
            <w:tcW w:w="860" w:type="pct"/>
            <w:vMerge w:val="restart"/>
            <w:tcBorders>
              <w:top w:val="nil"/>
              <w:left w:val="nil"/>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0.544</w:t>
            </w:r>
          </w:p>
        </w:tc>
      </w:tr>
      <w:tr w:rsidR="002C1626" w:rsidRPr="002C1626" w:rsidTr="00FE4214">
        <w:trPr>
          <w:trHeight w:val="53"/>
        </w:trPr>
        <w:tc>
          <w:tcPr>
            <w:tcW w:w="1563" w:type="pct"/>
            <w:tcBorders>
              <w:top w:val="nil"/>
              <w:left w:val="nil"/>
              <w:bottom w:val="single" w:sz="4" w:space="0" w:color="auto"/>
              <w:right w:val="nil"/>
            </w:tcBorders>
          </w:tcPr>
          <w:p w:rsidR="002C1626" w:rsidRPr="005A5A08" w:rsidRDefault="002C1626" w:rsidP="00FE4214">
            <w:pPr>
              <w:pStyle w:val="matn"/>
              <w:rPr>
                <w:rFonts w:ascii="Times New Roman" w:hAnsi="Times New Roman" w:cs="Times New Roman"/>
                <w:sz w:val="20"/>
                <w:szCs w:val="20"/>
              </w:rPr>
            </w:pPr>
            <w:r w:rsidRPr="005A5A08">
              <w:rPr>
                <w:rFonts w:ascii="Times New Roman" w:hAnsi="Times New Roman" w:cs="Times New Roman"/>
                <w:sz w:val="20"/>
                <w:szCs w:val="20"/>
              </w:rPr>
              <w:t>The 9</w:t>
            </w:r>
            <w:r w:rsidRPr="00FE4214">
              <w:rPr>
                <w:rFonts w:ascii="Times New Roman" w:hAnsi="Times New Roman" w:cs="Times New Roman"/>
                <w:sz w:val="20"/>
                <w:szCs w:val="20"/>
                <w:vertAlign w:val="superscript"/>
              </w:rPr>
              <w:t>th</w:t>
            </w:r>
            <w:r w:rsidR="00FE4214">
              <w:rPr>
                <w:rFonts w:ascii="Times New Roman" w:hAnsi="Times New Roman" w:cs="Times New Roman"/>
                <w:sz w:val="20"/>
                <w:szCs w:val="20"/>
              </w:rPr>
              <w:t xml:space="preserve"> </w:t>
            </w:r>
            <w:r w:rsidRPr="005A5A08">
              <w:rPr>
                <w:rFonts w:ascii="Times New Roman" w:hAnsi="Times New Roman" w:cs="Times New Roman"/>
                <w:sz w:val="20"/>
                <w:szCs w:val="20"/>
              </w:rPr>
              <w:t>day</w:t>
            </w:r>
          </w:p>
        </w:tc>
        <w:tc>
          <w:tcPr>
            <w:tcW w:w="859" w:type="pct"/>
            <w:tcBorders>
              <w:top w:val="nil"/>
              <w:left w:val="nil"/>
              <w:bottom w:val="single" w:sz="4" w:space="0" w:color="auto"/>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0</w:t>
            </w:r>
          </w:p>
        </w:tc>
        <w:tc>
          <w:tcPr>
            <w:tcW w:w="859" w:type="pct"/>
            <w:tcBorders>
              <w:top w:val="nil"/>
              <w:left w:val="nil"/>
              <w:bottom w:val="single" w:sz="4" w:space="0" w:color="auto"/>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(0.6)</w:t>
            </w:r>
          </w:p>
        </w:tc>
        <w:tc>
          <w:tcPr>
            <w:tcW w:w="860" w:type="pct"/>
            <w:tcBorders>
              <w:top w:val="nil"/>
              <w:left w:val="nil"/>
              <w:bottom w:val="single" w:sz="4" w:space="0" w:color="auto"/>
              <w:right w:val="nil"/>
            </w:tcBorders>
          </w:tcPr>
          <w:p w:rsidR="002C1626" w:rsidRPr="005A5A08" w:rsidRDefault="002C1626" w:rsidP="005A5A08">
            <w:pPr>
              <w:pStyle w:val="matn"/>
              <w:jc w:val="center"/>
              <w:rPr>
                <w:rFonts w:ascii="Times New Roman" w:hAnsi="Times New Roman" w:cs="Times New Roman"/>
                <w:sz w:val="20"/>
                <w:szCs w:val="20"/>
              </w:rPr>
            </w:pPr>
            <w:r w:rsidRPr="005A5A08">
              <w:rPr>
                <w:rFonts w:ascii="Times New Roman" w:hAnsi="Times New Roman" w:cs="Times New Roman"/>
                <w:sz w:val="20"/>
                <w:szCs w:val="20"/>
              </w:rPr>
              <w:t>1 (0.3)</w:t>
            </w:r>
          </w:p>
        </w:tc>
        <w:tc>
          <w:tcPr>
            <w:tcW w:w="860" w:type="pct"/>
            <w:vMerge/>
            <w:tcBorders>
              <w:left w:val="nil"/>
              <w:bottom w:val="single" w:sz="4" w:space="0" w:color="auto"/>
              <w:right w:val="nil"/>
            </w:tcBorders>
          </w:tcPr>
          <w:p w:rsidR="002C1626" w:rsidRPr="002C1626" w:rsidRDefault="002C1626" w:rsidP="002C1626">
            <w:pPr>
              <w:pStyle w:val="matn"/>
            </w:pPr>
          </w:p>
        </w:tc>
      </w:tr>
    </w:tbl>
    <w:p w:rsidR="002C1626" w:rsidRPr="00FE4214" w:rsidRDefault="00FE4214" w:rsidP="00FE4214">
      <w:pPr>
        <w:pStyle w:val="matn"/>
        <w:rPr>
          <w:sz w:val="18"/>
          <w:szCs w:val="22"/>
        </w:rPr>
      </w:pPr>
      <w:r w:rsidRPr="00FE4214">
        <w:rPr>
          <w:sz w:val="18"/>
          <w:szCs w:val="22"/>
        </w:rPr>
        <w:t>*</w:t>
      </w:r>
      <w:r w:rsidR="002C1626" w:rsidRPr="00FE4214">
        <w:rPr>
          <w:sz w:val="18"/>
          <w:szCs w:val="22"/>
        </w:rPr>
        <w:t xml:space="preserve">Mann-Whitney test </w:t>
      </w:r>
    </w:p>
    <w:p w:rsidR="002C1626" w:rsidRPr="00FE4214" w:rsidRDefault="002C1626" w:rsidP="00E97607">
      <w:pPr>
        <w:pStyle w:val="matn"/>
      </w:pPr>
    </w:p>
    <w:p w:rsidR="005A5A08" w:rsidRDefault="005A5A08" w:rsidP="00E97607">
      <w:pPr>
        <w:pStyle w:val="matn"/>
        <w:sectPr w:rsidR="005A5A08" w:rsidSect="00C918E5">
          <w:type w:val="continuous"/>
          <w:pgSz w:w="11907" w:h="16840" w:code="9"/>
          <w:pgMar w:top="1814" w:right="1134" w:bottom="1701" w:left="1134" w:header="1247" w:footer="1247" w:gutter="0"/>
          <w:cols w:space="425"/>
          <w:titlePg/>
          <w:docGrid w:linePitch="360"/>
        </w:sectPr>
      </w:pPr>
    </w:p>
    <w:p w:rsidR="00322F1E" w:rsidRPr="0058037F" w:rsidRDefault="00322F1E" w:rsidP="002D77A0">
      <w:pPr>
        <w:pStyle w:val="Heading3"/>
        <w:bidi w:val="0"/>
        <w:spacing w:before="0" w:line="238" w:lineRule="auto"/>
        <w:rPr>
          <w:szCs w:val="28"/>
        </w:rPr>
      </w:pPr>
      <w:r w:rsidRPr="005650A9">
        <w:lastRenderedPageBreak/>
        <w:t>Discussion</w:t>
      </w:r>
    </w:p>
    <w:p w:rsidR="00E97607" w:rsidRPr="00E97607" w:rsidRDefault="00E97607" w:rsidP="002D77A0">
      <w:pPr>
        <w:pStyle w:val="matn"/>
        <w:spacing w:line="238" w:lineRule="auto"/>
      </w:pPr>
      <w:r w:rsidRPr="00E97607">
        <w:t>This study showed that the mean of blood loss during operation was significantly more in p</w:t>
      </w:r>
      <w:r w:rsidRPr="00E97607">
        <w:t>a</w:t>
      </w:r>
      <w:r w:rsidRPr="00E97607">
        <w:t>tients receiving general anesthesia than ne</w:t>
      </w:r>
      <w:r w:rsidRPr="00E97607">
        <w:t>u</w:t>
      </w:r>
      <w:r w:rsidRPr="00E97607">
        <w:t>raxial anesthesia. In two previous separate m</w:t>
      </w:r>
      <w:r w:rsidRPr="00E97607">
        <w:t>e</w:t>
      </w:r>
      <w:r w:rsidRPr="00E97607">
        <w:t>ta-analysis assessing the patients undergoing different surgical procedures</w:t>
      </w:r>
      <w:r w:rsidRPr="00E97607">
        <w:rPr>
          <w:vertAlign w:val="superscript"/>
        </w:rPr>
        <w:t>12</w:t>
      </w:r>
      <w:r w:rsidRPr="00E97607">
        <w:t xml:space="preserve"> and the cand</w:t>
      </w:r>
      <w:r w:rsidRPr="00E97607">
        <w:t>i</w:t>
      </w:r>
      <w:r w:rsidRPr="00E97607">
        <w:t>dates of hip and spinal column surgeries, the researchers demonstrated that general ane</w:t>
      </w:r>
      <w:r w:rsidRPr="00E97607">
        <w:t>s</w:t>
      </w:r>
      <w:r w:rsidRPr="00E97607">
        <w:t>thesia is accompanied by more hemorrhage compared with neuraxial anesthesia.</w:t>
      </w:r>
      <w:r w:rsidRPr="00E97607">
        <w:rPr>
          <w:vertAlign w:val="superscript"/>
        </w:rPr>
        <w:t>12,13</w:t>
      </w:r>
      <w:r w:rsidRPr="00E97607">
        <w:t xml:space="preserve"> </w:t>
      </w:r>
    </w:p>
    <w:p w:rsidR="00E97607" w:rsidRPr="00E97607" w:rsidRDefault="00A94C25" w:rsidP="002D77A0">
      <w:pPr>
        <w:pStyle w:val="matn"/>
        <w:spacing w:line="238" w:lineRule="auto"/>
      </w:pPr>
      <w:r w:rsidRPr="00A94C25">
        <w:tab/>
      </w:r>
      <w:r w:rsidR="00E97607" w:rsidRPr="00E97607">
        <w:t xml:space="preserve">In a review article, Macfarlane et al reported </w:t>
      </w:r>
      <w:r w:rsidR="00FE4214">
        <w:br w:type="column"/>
      </w:r>
      <w:r w:rsidR="00E97607" w:rsidRPr="00E97607">
        <w:lastRenderedPageBreak/>
        <w:t>that in four out of ten studies, patients recei</w:t>
      </w:r>
      <w:r w:rsidR="00E97607" w:rsidRPr="00E97607">
        <w:t>v</w:t>
      </w:r>
      <w:r w:rsidR="00E97607" w:rsidRPr="00E97607">
        <w:t>ing GA had significantly more bleeding, and in the other six there was no significant difference between groups considering blood loss.</w:t>
      </w:r>
      <w:r w:rsidR="00E97607" w:rsidRPr="00E97607">
        <w:rPr>
          <w:vertAlign w:val="superscript"/>
        </w:rPr>
        <w:t>14</w:t>
      </w:r>
      <w:r w:rsidR="00E97607" w:rsidRPr="00E97607">
        <w:t xml:space="preserve"> They reported that the mean of reduction of blood loss was different from 118 ml to 595 ml, but in our study this value was 238 ml. </w:t>
      </w:r>
    </w:p>
    <w:p w:rsidR="00E97607" w:rsidRPr="00E97607" w:rsidRDefault="00A94C25" w:rsidP="002D77A0">
      <w:pPr>
        <w:pStyle w:val="matn"/>
        <w:spacing w:line="238" w:lineRule="auto"/>
      </w:pPr>
      <w:r w:rsidRPr="00A94C25">
        <w:tab/>
      </w:r>
      <w:r w:rsidR="00E97607" w:rsidRPr="00E97607">
        <w:t>In a prospective controlled study, patients undergoing hip surgery under spinal anesth</w:t>
      </w:r>
      <w:r w:rsidR="00E97607" w:rsidRPr="00E97607">
        <w:t>e</w:t>
      </w:r>
      <w:r w:rsidR="00E97607" w:rsidRPr="00E97607">
        <w:t>sia had less blood loss than patients receiving general anesthesia.</w:t>
      </w:r>
      <w:r w:rsidR="00E97607" w:rsidRPr="00E97607">
        <w:rPr>
          <w:vertAlign w:val="superscript"/>
        </w:rPr>
        <w:t>15</w:t>
      </w:r>
      <w:r w:rsidR="00E97607" w:rsidRPr="00E97607">
        <w:t xml:space="preserve"> </w:t>
      </w:r>
    </w:p>
    <w:p w:rsidR="00E97607" w:rsidRPr="00FE4214" w:rsidRDefault="00A94C25" w:rsidP="002D77A0">
      <w:pPr>
        <w:pStyle w:val="matn"/>
        <w:spacing w:line="238" w:lineRule="auto"/>
        <w:rPr>
          <w:spacing w:val="-2"/>
        </w:rPr>
      </w:pPr>
      <w:r w:rsidRPr="00FE4214">
        <w:rPr>
          <w:spacing w:val="-2"/>
        </w:rPr>
        <w:tab/>
      </w:r>
      <w:r w:rsidR="00E97607" w:rsidRPr="00FE4214">
        <w:rPr>
          <w:spacing w:val="-2"/>
        </w:rPr>
        <w:t xml:space="preserve">Neuraxial anesthesia blocks alpha and beta </w:t>
      </w:r>
      <w:r w:rsidR="00FE4214" w:rsidRPr="00FE4214">
        <w:rPr>
          <w:spacing w:val="-2"/>
        </w:rPr>
        <w:br w:type="column"/>
      </w:r>
      <w:r w:rsidR="00E97607" w:rsidRPr="00FE4214">
        <w:rPr>
          <w:spacing w:val="-2"/>
        </w:rPr>
        <w:lastRenderedPageBreak/>
        <w:t>adrenergic receptors, leads to reduction of heart rates, vascular tone, and blood pressure. The decreased blood pressure acts like controlled hypotension which results in less blood loss.</w:t>
      </w:r>
      <w:r w:rsidR="00E97607" w:rsidRPr="00FE4214">
        <w:rPr>
          <w:spacing w:val="-2"/>
          <w:vertAlign w:val="superscript"/>
        </w:rPr>
        <w:t>16</w:t>
      </w:r>
      <w:r w:rsidR="00E97607" w:rsidRPr="00FE4214">
        <w:rPr>
          <w:spacing w:val="-2"/>
        </w:rPr>
        <w:t xml:space="preserve"> In this study, the amount of intraoperative ephedrine consumption to oppose hypotension was significantly more in neuraxial method than in general anesthesia. Thus the established intraoperative hypotension is in an accepted limitation, it can explain the less blood loss in neuraxial anesthesia patients. The other justif</w:t>
      </w:r>
      <w:r w:rsidR="00E97607" w:rsidRPr="00FE4214">
        <w:rPr>
          <w:spacing w:val="-2"/>
        </w:rPr>
        <w:t>y</w:t>
      </w:r>
      <w:r w:rsidR="00E97607" w:rsidRPr="00FE4214">
        <w:rPr>
          <w:spacing w:val="-2"/>
        </w:rPr>
        <w:t>ing reason can be an increase in venous blood pressure in patients receiving general anesth</w:t>
      </w:r>
      <w:r w:rsidR="00E97607" w:rsidRPr="00FE4214">
        <w:rPr>
          <w:spacing w:val="-2"/>
        </w:rPr>
        <w:t>e</w:t>
      </w:r>
      <w:r w:rsidR="00E97607" w:rsidRPr="00FE4214">
        <w:rPr>
          <w:spacing w:val="-2"/>
        </w:rPr>
        <w:t>sia especially with mechanical ventilation.</w:t>
      </w:r>
      <w:r w:rsidR="00E97607" w:rsidRPr="00FE4214">
        <w:rPr>
          <w:spacing w:val="-2"/>
          <w:vertAlign w:val="superscript"/>
        </w:rPr>
        <w:t>17</w:t>
      </w:r>
      <w:r w:rsidR="00E97607" w:rsidRPr="00FE4214">
        <w:rPr>
          <w:spacing w:val="-2"/>
        </w:rPr>
        <w:t xml:space="preserve"> In this study there was no difference between the groups regarding postoperative blood loss amount and the hemoglobin changes until the 5</w:t>
      </w:r>
      <w:r w:rsidR="00E97607" w:rsidRPr="00FE4214">
        <w:rPr>
          <w:spacing w:val="-2"/>
          <w:vertAlign w:val="superscript"/>
        </w:rPr>
        <w:t>th</w:t>
      </w:r>
      <w:r w:rsidR="00E97607" w:rsidRPr="00FE4214">
        <w:rPr>
          <w:spacing w:val="-2"/>
        </w:rPr>
        <w:t xml:space="preserve"> postoperative day; but in both groups the mean of hemoglobin changes was statistically lower on the 2</w:t>
      </w:r>
      <w:r w:rsidR="00E97607" w:rsidRPr="00FE4214">
        <w:rPr>
          <w:spacing w:val="-2"/>
          <w:vertAlign w:val="superscript"/>
        </w:rPr>
        <w:t>nd</w:t>
      </w:r>
      <w:r w:rsidR="00E97607" w:rsidRPr="00FE4214">
        <w:rPr>
          <w:spacing w:val="-2"/>
        </w:rPr>
        <w:t xml:space="preserve"> and 3</w:t>
      </w:r>
      <w:r w:rsidR="00E97607" w:rsidRPr="00FE4214">
        <w:rPr>
          <w:spacing w:val="-2"/>
          <w:vertAlign w:val="superscript"/>
        </w:rPr>
        <w:t>rd</w:t>
      </w:r>
      <w:r w:rsidR="00E97607" w:rsidRPr="00FE4214">
        <w:rPr>
          <w:spacing w:val="-2"/>
        </w:rPr>
        <w:t xml:space="preserve"> postoperative days compared to preoperative values. </w:t>
      </w:r>
    </w:p>
    <w:p w:rsidR="00E97607" w:rsidRPr="00FE4214" w:rsidRDefault="00A94C25" w:rsidP="002D77A0">
      <w:pPr>
        <w:pStyle w:val="matn"/>
        <w:spacing w:line="238" w:lineRule="auto"/>
        <w:rPr>
          <w:spacing w:val="-2"/>
        </w:rPr>
      </w:pPr>
      <w:r w:rsidRPr="00FE4214">
        <w:rPr>
          <w:spacing w:val="-2"/>
        </w:rPr>
        <w:tab/>
      </w:r>
      <w:r w:rsidR="00E97607" w:rsidRPr="00FE4214">
        <w:rPr>
          <w:spacing w:val="-2"/>
        </w:rPr>
        <w:t>In our study, the mean of duration of hosp</w:t>
      </w:r>
      <w:r w:rsidR="00E97607" w:rsidRPr="00FE4214">
        <w:rPr>
          <w:spacing w:val="-2"/>
        </w:rPr>
        <w:t>i</w:t>
      </w:r>
      <w:r w:rsidR="00E97607" w:rsidRPr="00FE4214">
        <w:rPr>
          <w:spacing w:val="-2"/>
        </w:rPr>
        <w:t>talization was significantly more in patients r</w:t>
      </w:r>
      <w:r w:rsidR="00E97607" w:rsidRPr="00FE4214">
        <w:rPr>
          <w:spacing w:val="-2"/>
        </w:rPr>
        <w:t>e</w:t>
      </w:r>
      <w:r w:rsidR="00E97607" w:rsidRPr="00FE4214">
        <w:rPr>
          <w:spacing w:val="-2"/>
        </w:rPr>
        <w:t>ceiving general anesthesia. Møiniche et al su</w:t>
      </w:r>
      <w:r w:rsidR="00E97607" w:rsidRPr="00FE4214">
        <w:rPr>
          <w:spacing w:val="-2"/>
        </w:rPr>
        <w:t>r</w:t>
      </w:r>
      <w:r w:rsidR="00E97607" w:rsidRPr="00FE4214">
        <w:rPr>
          <w:spacing w:val="-2"/>
        </w:rPr>
        <w:t>veyed 42 volunteers of hip surgery undergoing general or continuous epidural anesthesia and found that the duration of hospitalization was similar in both groups.</w:t>
      </w:r>
      <w:r w:rsidR="00E97607" w:rsidRPr="00FE4214">
        <w:rPr>
          <w:spacing w:val="-2"/>
          <w:vertAlign w:val="superscript"/>
        </w:rPr>
        <w:t>18</w:t>
      </w:r>
      <w:r w:rsidR="00E97607" w:rsidRPr="00FE4214">
        <w:rPr>
          <w:spacing w:val="-2"/>
        </w:rPr>
        <w:t xml:space="preserve"> The difference may be attributed to their smaller studied population and applying only one method of neuraxial anesthesia which was continuous epidural anesthesia. Sutcliffe and Parker in a retrospe</w:t>
      </w:r>
      <w:r w:rsidR="00E97607" w:rsidRPr="00FE4214">
        <w:rPr>
          <w:spacing w:val="-2"/>
        </w:rPr>
        <w:t>c</w:t>
      </w:r>
      <w:r w:rsidR="00E97607" w:rsidRPr="00FE4214">
        <w:rPr>
          <w:spacing w:val="-2"/>
        </w:rPr>
        <w:t>tive study found no difference in factors of ho</w:t>
      </w:r>
      <w:r w:rsidR="00E97607" w:rsidRPr="00FE4214">
        <w:rPr>
          <w:spacing w:val="-2"/>
        </w:rPr>
        <w:t>s</w:t>
      </w:r>
      <w:r w:rsidR="00E97607" w:rsidRPr="00FE4214">
        <w:rPr>
          <w:spacing w:val="-2"/>
        </w:rPr>
        <w:t>pitalization in 1333 patients receiving either general or neuraxial anesthesia for hip su</w:t>
      </w:r>
      <w:r w:rsidR="00E97607" w:rsidRPr="00FE4214">
        <w:rPr>
          <w:spacing w:val="-2"/>
        </w:rPr>
        <w:t>r</w:t>
      </w:r>
      <w:r w:rsidR="00E97607" w:rsidRPr="00FE4214">
        <w:rPr>
          <w:spacing w:val="-2"/>
        </w:rPr>
        <w:t>gery.</w:t>
      </w:r>
      <w:r w:rsidR="00E97607" w:rsidRPr="00FE4214">
        <w:rPr>
          <w:spacing w:val="-2"/>
          <w:vertAlign w:val="superscript"/>
        </w:rPr>
        <w:t>19</w:t>
      </w:r>
      <w:r w:rsidR="00E97607" w:rsidRPr="00FE4214">
        <w:rPr>
          <w:spacing w:val="-2"/>
        </w:rPr>
        <w:t xml:space="preserve"> This contradiction can be due to the di</w:t>
      </w:r>
      <w:r w:rsidR="00E97607" w:rsidRPr="00FE4214">
        <w:rPr>
          <w:spacing w:val="-2"/>
        </w:rPr>
        <w:t>f</w:t>
      </w:r>
      <w:r w:rsidR="00E97607" w:rsidRPr="00FE4214">
        <w:rPr>
          <w:spacing w:val="-2"/>
        </w:rPr>
        <w:t>ferent kind of studies. They studied retrospe</w:t>
      </w:r>
      <w:r w:rsidR="00E97607" w:rsidRPr="00FE4214">
        <w:rPr>
          <w:spacing w:val="-2"/>
        </w:rPr>
        <w:t>c</w:t>
      </w:r>
      <w:r w:rsidR="00E97607" w:rsidRPr="00FE4214">
        <w:rPr>
          <w:spacing w:val="-2"/>
        </w:rPr>
        <w:t xml:space="preserve">tively while our study was a prospective one. </w:t>
      </w:r>
    </w:p>
    <w:p w:rsidR="00E97607" w:rsidRPr="00FE4214" w:rsidRDefault="00A94C25" w:rsidP="002D77A0">
      <w:pPr>
        <w:pStyle w:val="matn"/>
        <w:spacing w:line="238" w:lineRule="auto"/>
        <w:rPr>
          <w:spacing w:val="-2"/>
        </w:rPr>
      </w:pPr>
      <w:r w:rsidRPr="00FE4214">
        <w:rPr>
          <w:spacing w:val="-2"/>
        </w:rPr>
        <w:tab/>
      </w:r>
      <w:r w:rsidR="00E97607" w:rsidRPr="00FE4214">
        <w:rPr>
          <w:spacing w:val="-2"/>
        </w:rPr>
        <w:t>Vaida et al declared that the beneficial effects of neuraxial analgesia are reduction of stress hormones, inhibition of central hyper sensitiz</w:t>
      </w:r>
      <w:r w:rsidR="00E97607" w:rsidRPr="00FE4214">
        <w:rPr>
          <w:spacing w:val="-2"/>
        </w:rPr>
        <w:t>a</w:t>
      </w:r>
      <w:r w:rsidR="00E97607" w:rsidRPr="00FE4214">
        <w:rPr>
          <w:spacing w:val="-2"/>
        </w:rPr>
        <w:t>tion and ultimately shortening the duration of hospitalization. They believed that increase in pain severity and cognitive dysfunction in p</w:t>
      </w:r>
      <w:r w:rsidR="00E97607" w:rsidRPr="00FE4214">
        <w:rPr>
          <w:spacing w:val="-2"/>
        </w:rPr>
        <w:t>a</w:t>
      </w:r>
      <w:r w:rsidR="00E97607" w:rsidRPr="00FE4214">
        <w:rPr>
          <w:spacing w:val="-2"/>
        </w:rPr>
        <w:t>tients receiving general anesthesia resulted in longer hospitalization.</w:t>
      </w:r>
      <w:r w:rsidR="00E97607" w:rsidRPr="00FE4214">
        <w:rPr>
          <w:spacing w:val="-2"/>
          <w:vertAlign w:val="superscript"/>
        </w:rPr>
        <w:t>20</w:t>
      </w:r>
      <w:r w:rsidR="00E97607" w:rsidRPr="00FE4214">
        <w:rPr>
          <w:spacing w:val="-2"/>
        </w:rPr>
        <w:t xml:space="preserve"> Our findings demo</w:t>
      </w:r>
      <w:r w:rsidR="00E97607" w:rsidRPr="00FE4214">
        <w:rPr>
          <w:spacing w:val="-2"/>
        </w:rPr>
        <w:t>n</w:t>
      </w:r>
      <w:r w:rsidR="00E97607" w:rsidRPr="00FE4214">
        <w:rPr>
          <w:spacing w:val="-2"/>
        </w:rPr>
        <w:t>strated that the pain severity, especially at r</w:t>
      </w:r>
      <w:r w:rsidR="00E97607" w:rsidRPr="00FE4214">
        <w:rPr>
          <w:spacing w:val="-2"/>
        </w:rPr>
        <w:t>e</w:t>
      </w:r>
      <w:r w:rsidR="00E97607" w:rsidRPr="00FE4214">
        <w:rPr>
          <w:spacing w:val="-2"/>
        </w:rPr>
        <w:t>covery room and on the 3</w:t>
      </w:r>
      <w:r w:rsidR="00E97607" w:rsidRPr="00FE4214">
        <w:rPr>
          <w:spacing w:val="-2"/>
          <w:vertAlign w:val="superscript"/>
        </w:rPr>
        <w:t>rd</w:t>
      </w:r>
      <w:r w:rsidR="00E97607" w:rsidRPr="00FE4214">
        <w:rPr>
          <w:spacing w:val="-2"/>
        </w:rPr>
        <w:t xml:space="preserve"> postoperative day was lower in neuraxial group.</w:t>
      </w:r>
    </w:p>
    <w:p w:rsidR="00E97607" w:rsidRPr="00FE4214" w:rsidRDefault="00A94C25" w:rsidP="002D77A0">
      <w:pPr>
        <w:pStyle w:val="matn"/>
        <w:spacing w:line="238" w:lineRule="auto"/>
        <w:rPr>
          <w:spacing w:val="-2"/>
        </w:rPr>
      </w:pPr>
      <w:r w:rsidRPr="00FE4214">
        <w:rPr>
          <w:spacing w:val="-2"/>
        </w:rPr>
        <w:lastRenderedPageBreak/>
        <w:tab/>
      </w:r>
      <w:r w:rsidR="00E97607" w:rsidRPr="00FE4214">
        <w:rPr>
          <w:spacing w:val="-2"/>
        </w:rPr>
        <w:t>Moreover, Gonano et al studied 40 volu</w:t>
      </w:r>
      <w:r w:rsidR="00E97607" w:rsidRPr="00FE4214">
        <w:rPr>
          <w:spacing w:val="-2"/>
        </w:rPr>
        <w:t>n</w:t>
      </w:r>
      <w:r w:rsidR="00E97607" w:rsidRPr="00FE4214">
        <w:rPr>
          <w:spacing w:val="-2"/>
        </w:rPr>
        <w:t>teers of hip and knee surgeries and reported that spinal anesthesia accompanied by less postoperative pain compared to general ane</w:t>
      </w:r>
      <w:r w:rsidR="00E97607" w:rsidRPr="00FE4214">
        <w:rPr>
          <w:spacing w:val="-2"/>
        </w:rPr>
        <w:t>s</w:t>
      </w:r>
      <w:r w:rsidR="00E97607" w:rsidRPr="00FE4214">
        <w:rPr>
          <w:spacing w:val="-2"/>
        </w:rPr>
        <w:t>thesia.</w:t>
      </w:r>
      <w:r w:rsidR="00E97607" w:rsidRPr="00FE4214">
        <w:rPr>
          <w:spacing w:val="-2"/>
          <w:vertAlign w:val="superscript"/>
        </w:rPr>
        <w:t>21</w:t>
      </w:r>
      <w:r w:rsidR="00E97607" w:rsidRPr="00FE4214">
        <w:rPr>
          <w:spacing w:val="-2"/>
        </w:rPr>
        <w:t xml:space="preserve"> Furthermore, a meta-analysis on 1362 patients reported that neuraxial anesthesia or peripheral nerve block leads to less postoper</w:t>
      </w:r>
      <w:r w:rsidR="00E97607" w:rsidRPr="00FE4214">
        <w:rPr>
          <w:spacing w:val="-2"/>
        </w:rPr>
        <w:t>a</w:t>
      </w:r>
      <w:r w:rsidR="00E97607" w:rsidRPr="00FE4214">
        <w:rPr>
          <w:spacing w:val="-2"/>
        </w:rPr>
        <w:t>tive pain.</w:t>
      </w:r>
      <w:r w:rsidR="00E97607" w:rsidRPr="00FE4214">
        <w:rPr>
          <w:spacing w:val="-2"/>
          <w:vertAlign w:val="superscript"/>
        </w:rPr>
        <w:t>22</w:t>
      </w:r>
      <w:r w:rsidR="00E97607" w:rsidRPr="00FE4214">
        <w:rPr>
          <w:spacing w:val="-2"/>
        </w:rPr>
        <w:t xml:space="preserve"> Additionally, a review article r</w:t>
      </w:r>
      <w:r w:rsidR="00E97607" w:rsidRPr="00FE4214">
        <w:rPr>
          <w:spacing w:val="-2"/>
        </w:rPr>
        <w:t>e</w:t>
      </w:r>
      <w:r w:rsidR="00E97607" w:rsidRPr="00FE4214">
        <w:rPr>
          <w:spacing w:val="-2"/>
        </w:rPr>
        <w:t>ported that in ten of eleven studies, patients r</w:t>
      </w:r>
      <w:r w:rsidR="00E97607" w:rsidRPr="00FE4214">
        <w:rPr>
          <w:spacing w:val="-2"/>
        </w:rPr>
        <w:t>e</w:t>
      </w:r>
      <w:r w:rsidR="00E97607" w:rsidRPr="00FE4214">
        <w:rPr>
          <w:spacing w:val="-2"/>
        </w:rPr>
        <w:t>ceiving epidural anesthesia significantly su</w:t>
      </w:r>
      <w:r w:rsidR="00E97607" w:rsidRPr="00FE4214">
        <w:rPr>
          <w:spacing w:val="-2"/>
        </w:rPr>
        <w:t>f</w:t>
      </w:r>
      <w:r w:rsidR="00E97607" w:rsidRPr="00FE4214">
        <w:rPr>
          <w:spacing w:val="-2"/>
        </w:rPr>
        <w:t>fered less pain than general anesthesia groups.</w:t>
      </w:r>
      <w:r w:rsidR="00E97607" w:rsidRPr="00FE4214">
        <w:rPr>
          <w:spacing w:val="-2"/>
          <w:vertAlign w:val="superscript"/>
        </w:rPr>
        <w:t>14</w:t>
      </w:r>
      <w:r w:rsidR="00E97607" w:rsidRPr="00FE4214">
        <w:rPr>
          <w:spacing w:val="-2"/>
        </w:rPr>
        <w:t xml:space="preserve"> The reduction in pain severity at recovery room can be attributed to the residual effects of se</w:t>
      </w:r>
      <w:r w:rsidR="00E97607" w:rsidRPr="00FE4214">
        <w:rPr>
          <w:spacing w:val="-2"/>
        </w:rPr>
        <w:t>n</w:t>
      </w:r>
      <w:r w:rsidR="00E97607" w:rsidRPr="00FE4214">
        <w:rPr>
          <w:spacing w:val="-2"/>
        </w:rPr>
        <w:t>sory block of neuraxial anesthesia. Also, the lower pain on postoperative days may be due to the beneficial effects of preemptive analgesia in neuraxial anesthesia application.</w:t>
      </w:r>
    </w:p>
    <w:p w:rsidR="00E97607" w:rsidRPr="00E97607" w:rsidRDefault="00A94C25" w:rsidP="002D77A0">
      <w:pPr>
        <w:pStyle w:val="matn"/>
        <w:spacing w:line="238" w:lineRule="auto"/>
      </w:pPr>
      <w:r w:rsidRPr="00A94C25">
        <w:tab/>
      </w:r>
      <w:r w:rsidR="00E97607" w:rsidRPr="00E97607">
        <w:t>In our study, the frequency of postoperative events, including cardiovascular and respirat</w:t>
      </w:r>
      <w:r w:rsidR="00E97607" w:rsidRPr="00E97607">
        <w:t>o</w:t>
      </w:r>
      <w:r w:rsidR="00E97607" w:rsidRPr="00E97607">
        <w:t>ry complications, were similar in both groups. In fact, there was no statistically deference in the incidence of myocardial ischemia, myoca</w:t>
      </w:r>
      <w:r w:rsidR="00E97607" w:rsidRPr="00E97607">
        <w:t>r</w:t>
      </w:r>
      <w:r w:rsidR="00E97607" w:rsidRPr="00E97607">
        <w:t>dial infarction, atelectasia, and pulmonary i</w:t>
      </w:r>
      <w:r w:rsidR="00E97607" w:rsidRPr="00E97607">
        <w:t>n</w:t>
      </w:r>
      <w:r w:rsidR="00E97607" w:rsidRPr="00E97607">
        <w:t>fection between groups. Our results were di</w:t>
      </w:r>
      <w:r w:rsidR="00E97607" w:rsidRPr="00E97607">
        <w:t>f</w:t>
      </w:r>
      <w:r w:rsidR="00E97607" w:rsidRPr="00E97607">
        <w:t xml:space="preserve">ferent from the results of Urwin et al study </w:t>
      </w:r>
      <w:r w:rsidR="00E97607" w:rsidRPr="00E97607">
        <w:rPr>
          <w:vertAlign w:val="superscript"/>
        </w:rPr>
        <w:t>1</w:t>
      </w:r>
      <w:r w:rsidR="00E97607" w:rsidRPr="00E97607">
        <w:t>; in their study, incidence of DVT and myocardial infarction in patients undergoing correction of fractured hip surgery under neuraxial anesth</w:t>
      </w:r>
      <w:r w:rsidR="00E97607" w:rsidRPr="00E97607">
        <w:t>e</w:t>
      </w:r>
      <w:r w:rsidR="00E97607" w:rsidRPr="00E97607">
        <w:t>sia was lower than general anesthesia patients. Meanwhile, the incidence of cerebrovascular accidents and intraoperative hypotension were lower in patients receiving general anesthesia.</w:t>
      </w:r>
      <w:r w:rsidR="00E97607" w:rsidRPr="00E97607">
        <w:rPr>
          <w:vertAlign w:val="superscript"/>
        </w:rPr>
        <w:t>1</w:t>
      </w:r>
      <w:r w:rsidR="00E97607" w:rsidRPr="00E97607">
        <w:t xml:space="preserve"> The reasons for differences in findings might be due to the difference in sample size and the kind of the study. In other words, they ev</w:t>
      </w:r>
      <w:r w:rsidR="00E97607" w:rsidRPr="00E97607">
        <w:t>a</w:t>
      </w:r>
      <w:r w:rsidR="00E97607" w:rsidRPr="00E97607">
        <w:t>luated 2161 patients retrospectively while we studied 387 patients prospectively.</w:t>
      </w:r>
    </w:p>
    <w:p w:rsidR="00E97607" w:rsidRPr="00E97607" w:rsidRDefault="00A94C25" w:rsidP="00A640D9">
      <w:pPr>
        <w:pStyle w:val="matn"/>
        <w:spacing w:line="238" w:lineRule="auto"/>
      </w:pPr>
      <w:r w:rsidRPr="00A94C25">
        <w:tab/>
      </w:r>
      <w:r w:rsidR="00E97607" w:rsidRPr="00E97607">
        <w:t>In a meta-analysis, a lower incidence of DVT and pulmonary emboli in patients recei</w:t>
      </w:r>
      <w:r w:rsidR="00E97607" w:rsidRPr="00E97607">
        <w:t>v</w:t>
      </w:r>
      <w:r w:rsidR="00E97607" w:rsidRPr="00E97607">
        <w:t>ing neuraxial anesthesia for hip surgery was showed.</w:t>
      </w:r>
      <w:r w:rsidR="00E97607" w:rsidRPr="00E97607">
        <w:rPr>
          <w:vertAlign w:val="superscript"/>
        </w:rPr>
        <w:t>15</w:t>
      </w:r>
      <w:r w:rsidR="00E97607" w:rsidRPr="00E97607">
        <w:t xml:space="preserve"> However, O'Hara et al reported no significant difference in incidence of postope</w:t>
      </w:r>
      <w:r w:rsidR="00E97607" w:rsidRPr="00E97607">
        <w:t>r</w:t>
      </w:r>
      <w:r w:rsidR="00E97607" w:rsidRPr="00E97607">
        <w:t>ative myocardial infarction, c</w:t>
      </w:r>
      <w:r w:rsidR="00A640D9">
        <w:t>ongestive</w:t>
      </w:r>
      <w:r w:rsidR="00E97607" w:rsidRPr="00E97607">
        <w:t xml:space="preserve"> heart fai</w:t>
      </w:r>
      <w:r w:rsidR="00E97607" w:rsidRPr="00E97607">
        <w:t>l</w:t>
      </w:r>
      <w:r w:rsidR="00E97607" w:rsidRPr="00E97607">
        <w:t>ure (CHF), and mental dysfunction between both groups receiving either general or ne</w:t>
      </w:r>
      <w:r w:rsidR="00E97607" w:rsidRPr="00E97607">
        <w:t>u</w:t>
      </w:r>
      <w:r w:rsidR="00E97607" w:rsidRPr="00E97607">
        <w:t>raxial anesthesia in a retrospective study.</w:t>
      </w:r>
      <w:r w:rsidR="00E97607" w:rsidRPr="00E97607">
        <w:rPr>
          <w:vertAlign w:val="superscript"/>
        </w:rPr>
        <w:t>9</w:t>
      </w:r>
      <w:r w:rsidR="00E97607" w:rsidRPr="00E97607">
        <w:t xml:space="preserve"> This fin</w:t>
      </w:r>
      <w:r w:rsidR="00E97607" w:rsidRPr="00E97607">
        <w:t>d</w:t>
      </w:r>
      <w:r w:rsidR="00E97607" w:rsidRPr="00E97607">
        <w:t>ing was similar to the present study. We also found no statistical difference in mental dy</w:t>
      </w:r>
      <w:r w:rsidR="00E97607" w:rsidRPr="00E97607">
        <w:t>s</w:t>
      </w:r>
      <w:r w:rsidR="00E97607" w:rsidRPr="00E97607">
        <w:t>function on the 2</w:t>
      </w:r>
      <w:r w:rsidR="00E97607" w:rsidRPr="00E97607">
        <w:rPr>
          <w:vertAlign w:val="superscript"/>
        </w:rPr>
        <w:t>nd</w:t>
      </w:r>
      <w:r w:rsidR="00E97607" w:rsidRPr="00E97607">
        <w:t xml:space="preserve"> and 3</w:t>
      </w:r>
      <w:r w:rsidR="00E97607" w:rsidRPr="00E97607">
        <w:rPr>
          <w:vertAlign w:val="superscript"/>
        </w:rPr>
        <w:t>rd</w:t>
      </w:r>
      <w:r w:rsidR="00E97607" w:rsidRPr="00E97607">
        <w:t xml:space="preserve"> postoperative </w:t>
      </w:r>
      <w:r w:rsidR="00E97607" w:rsidRPr="00E97607">
        <w:lastRenderedPageBreak/>
        <w:t>days between the groups. This was in similar</w:t>
      </w:r>
      <w:r w:rsidR="00E97607" w:rsidRPr="00E97607">
        <w:t>i</w:t>
      </w:r>
      <w:r w:rsidR="00E97607" w:rsidRPr="00E97607">
        <w:t>ty to the findings of some previous studies.</w:t>
      </w:r>
      <w:r w:rsidR="00E97607" w:rsidRPr="00E97607">
        <w:rPr>
          <w:vertAlign w:val="superscript"/>
        </w:rPr>
        <w:t>9,23</w:t>
      </w:r>
      <w:r w:rsidR="00E97607" w:rsidRPr="00E97607">
        <w:t xml:space="preserve"> </w:t>
      </w:r>
    </w:p>
    <w:p w:rsidR="00E97607" w:rsidRPr="00E97607" w:rsidRDefault="00A94C25" w:rsidP="002D77A0">
      <w:pPr>
        <w:pStyle w:val="matn"/>
        <w:spacing w:line="238" w:lineRule="auto"/>
      </w:pPr>
      <w:r w:rsidRPr="00A94C25">
        <w:tab/>
      </w:r>
      <w:r w:rsidR="00E97607" w:rsidRPr="00E97607">
        <w:t>Our results revealed that patients receiving general anesthesia had more mental dysfun</w:t>
      </w:r>
      <w:r w:rsidR="00E97607" w:rsidRPr="00E97607">
        <w:t>c</w:t>
      </w:r>
      <w:r w:rsidR="00E97607" w:rsidRPr="00E97607">
        <w:t xml:space="preserve">tion in recovery room. This difference might be due to the remaining effect of anesthetic drugs at recovery room. </w:t>
      </w:r>
    </w:p>
    <w:p w:rsidR="00E97607" w:rsidRPr="00FE4214" w:rsidRDefault="00A94C25" w:rsidP="002D77A0">
      <w:pPr>
        <w:pStyle w:val="matn"/>
        <w:spacing w:line="238" w:lineRule="auto"/>
        <w:rPr>
          <w:spacing w:val="-2"/>
        </w:rPr>
      </w:pPr>
      <w:r w:rsidRPr="00FE4214">
        <w:rPr>
          <w:spacing w:val="-2"/>
        </w:rPr>
        <w:tab/>
      </w:r>
      <w:r w:rsidR="00E97607" w:rsidRPr="00FE4214">
        <w:rPr>
          <w:spacing w:val="-2"/>
        </w:rPr>
        <w:t>In our study, there was no difference in the abundance of death during hospital stay and out of hospital till 30 days after surgery. In one study on 425 patients in a primary investig</w:t>
      </w:r>
      <w:r w:rsidR="00E97607" w:rsidRPr="00FE4214">
        <w:rPr>
          <w:spacing w:val="-2"/>
        </w:rPr>
        <w:t>a</w:t>
      </w:r>
      <w:r w:rsidR="00E97607" w:rsidRPr="00FE4214">
        <w:rPr>
          <w:spacing w:val="-2"/>
        </w:rPr>
        <w:t>tion, they reported that the anesthetic technique has a role in morbidity and mortality of p</w:t>
      </w:r>
      <w:r w:rsidR="00E97607" w:rsidRPr="00FE4214">
        <w:rPr>
          <w:spacing w:val="-2"/>
        </w:rPr>
        <w:t>a</w:t>
      </w:r>
      <w:r w:rsidR="00E97607" w:rsidRPr="00FE4214">
        <w:rPr>
          <w:spacing w:val="-2"/>
        </w:rPr>
        <w:t>tients. But, after controlling the differences of the studied groups, they revealed that there is no difference in morbidity and mortality rate between the groups.</w:t>
      </w:r>
      <w:r w:rsidR="00E97607" w:rsidRPr="00FE4214">
        <w:rPr>
          <w:spacing w:val="-2"/>
          <w:vertAlign w:val="superscript"/>
        </w:rPr>
        <w:t>16</w:t>
      </w:r>
      <w:r w:rsidR="00E97607" w:rsidRPr="00FE4214">
        <w:rPr>
          <w:spacing w:val="-2"/>
        </w:rPr>
        <w:t xml:space="preserve"> Thus, the authors co</w:t>
      </w:r>
      <w:r w:rsidR="00E97607" w:rsidRPr="00FE4214">
        <w:rPr>
          <w:spacing w:val="-2"/>
        </w:rPr>
        <w:t>n</w:t>
      </w:r>
      <w:r w:rsidR="00E97607" w:rsidRPr="00FE4214">
        <w:rPr>
          <w:spacing w:val="-2"/>
        </w:rPr>
        <w:t>cluded that the major reasons for morbidity and mortality of these patients are their coexisting disease (e.g. diabetes, cardiovascular disease, etc), elderly, and undesirable physical condition and not an anesthetic technique. In limited st</w:t>
      </w:r>
      <w:r w:rsidR="00E97607" w:rsidRPr="00FE4214">
        <w:rPr>
          <w:spacing w:val="-2"/>
        </w:rPr>
        <w:t>u</w:t>
      </w:r>
      <w:r w:rsidR="00E97607" w:rsidRPr="00FE4214">
        <w:rPr>
          <w:spacing w:val="-2"/>
        </w:rPr>
        <w:t>dies, the difference in the incidence of mortality and morbidity after neuraxial and general ane</w:t>
      </w:r>
      <w:r w:rsidR="00E97607" w:rsidRPr="00FE4214">
        <w:rPr>
          <w:spacing w:val="-2"/>
        </w:rPr>
        <w:t>s</w:t>
      </w:r>
      <w:r w:rsidR="00E97607" w:rsidRPr="00FE4214">
        <w:rPr>
          <w:spacing w:val="-2"/>
        </w:rPr>
        <w:t>thesia was reported. For example, in one study, 53 high risk patients were evaluated and the results showed a lower incidence of morbidity and mortality after epidural anesthesia co</w:t>
      </w:r>
      <w:r w:rsidR="00E97607" w:rsidRPr="00FE4214">
        <w:rPr>
          <w:spacing w:val="-2"/>
        </w:rPr>
        <w:t>m</w:t>
      </w:r>
      <w:r w:rsidR="00E97607" w:rsidRPr="00FE4214">
        <w:rPr>
          <w:spacing w:val="-2"/>
        </w:rPr>
        <w:t>pared to general anesthesia.</w:t>
      </w:r>
      <w:r w:rsidR="00E97607" w:rsidRPr="00FE4214">
        <w:rPr>
          <w:spacing w:val="-2"/>
          <w:vertAlign w:val="superscript"/>
        </w:rPr>
        <w:t>24</w:t>
      </w:r>
      <w:r w:rsidR="00E97607" w:rsidRPr="00FE4214">
        <w:rPr>
          <w:spacing w:val="-2"/>
        </w:rPr>
        <w:t xml:space="preserve"> In another clinical trial, the effect of anesthetic techniques was not proved.</w:t>
      </w:r>
      <w:r w:rsidR="00E97607" w:rsidRPr="00FE4214">
        <w:rPr>
          <w:spacing w:val="-2"/>
          <w:vertAlign w:val="superscript"/>
        </w:rPr>
        <w:t>25</w:t>
      </w:r>
      <w:r w:rsidR="00E97607" w:rsidRPr="00FE4214">
        <w:rPr>
          <w:spacing w:val="-2"/>
        </w:rPr>
        <w:t xml:space="preserve"> But in another study, the effect of ne</w:t>
      </w:r>
      <w:r w:rsidR="00E97607" w:rsidRPr="00FE4214">
        <w:rPr>
          <w:spacing w:val="-2"/>
        </w:rPr>
        <w:t>u</w:t>
      </w:r>
      <w:r w:rsidR="00E97607" w:rsidRPr="00FE4214">
        <w:rPr>
          <w:spacing w:val="-2"/>
        </w:rPr>
        <w:t>raxial anesthesia on short term mortality was drawn but it had not differ from general ane</w:t>
      </w:r>
      <w:r w:rsidR="00E97607" w:rsidRPr="00FE4214">
        <w:rPr>
          <w:spacing w:val="-2"/>
        </w:rPr>
        <w:t>s</w:t>
      </w:r>
      <w:r w:rsidR="00E97607" w:rsidRPr="00FE4214">
        <w:rPr>
          <w:spacing w:val="-2"/>
        </w:rPr>
        <w:t>thesia considering long term mortality.</w:t>
      </w:r>
      <w:r w:rsidR="00E97607" w:rsidRPr="00FE4214">
        <w:rPr>
          <w:spacing w:val="-2"/>
          <w:vertAlign w:val="superscript"/>
        </w:rPr>
        <w:t>26</w:t>
      </w:r>
      <w:r w:rsidR="00E97607" w:rsidRPr="00FE4214">
        <w:rPr>
          <w:spacing w:val="-2"/>
        </w:rPr>
        <w:t xml:space="preserve"> In fact, in a majority of the studies, we may not be able to rely on the results due to the small sample </w:t>
      </w:r>
      <w:r w:rsidR="002D77A0">
        <w:rPr>
          <w:spacing w:val="-2"/>
        </w:rPr>
        <w:br w:type="column"/>
      </w:r>
      <w:r w:rsidR="00E97607" w:rsidRPr="00FE4214">
        <w:rPr>
          <w:spacing w:val="-2"/>
        </w:rPr>
        <w:lastRenderedPageBreak/>
        <w:t xml:space="preserve">size and a low study power. </w:t>
      </w:r>
    </w:p>
    <w:p w:rsidR="00322F1E" w:rsidRPr="007A7724" w:rsidRDefault="00A94C25" w:rsidP="002D77A0">
      <w:pPr>
        <w:pStyle w:val="matn"/>
        <w:spacing w:line="238" w:lineRule="auto"/>
        <w:rPr>
          <w:spacing w:val="-2"/>
        </w:rPr>
      </w:pPr>
      <w:r w:rsidRPr="00A94C25">
        <w:tab/>
      </w:r>
      <w:r w:rsidR="00E97607" w:rsidRPr="00E97607">
        <w:t>As in our study, the sample size was calc</w:t>
      </w:r>
      <w:r w:rsidR="00E97607" w:rsidRPr="00E97607">
        <w:t>u</w:t>
      </w:r>
      <w:r w:rsidR="00E97607" w:rsidRPr="00E97607">
        <w:t>lated according to the major postoperative complications, the absence of significant diffe</w:t>
      </w:r>
      <w:r w:rsidR="00E97607" w:rsidRPr="00E97607">
        <w:t>r</w:t>
      </w:r>
      <w:r w:rsidR="00E97607" w:rsidRPr="00E97607">
        <w:t>ence in mortality might be attributed to small sample size. This would be possibly cons</w:t>
      </w:r>
      <w:r w:rsidR="00E97607" w:rsidRPr="00E97607">
        <w:t>i</w:t>
      </w:r>
      <w:r w:rsidR="00E97607" w:rsidRPr="00E97607">
        <w:t>dered as a weakness of this study. Moreover, due to the limitation in performance of some specific diagnostic tests or the mildness of some clinical signs of diseases, there is a poss</w:t>
      </w:r>
      <w:r w:rsidR="00E97607" w:rsidRPr="00E97607">
        <w:t>i</w:t>
      </w:r>
      <w:r w:rsidR="00E97607" w:rsidRPr="00E97607">
        <w:t>bility that some postoperative complications might be undiagnosed. Therefore, this issue might be considered as a limitation of this study. Also, one of the limitations of our study was lack of some predictors such as sickness at admission scale or acute physiologic score from the APPACHE I and ASA; so we cannot conclude that mortality is due to anesthetic techniques or coexisting diseases.</w:t>
      </w:r>
    </w:p>
    <w:p w:rsidR="00322F1E" w:rsidRPr="005650A9" w:rsidRDefault="00322F1E" w:rsidP="002D77A0">
      <w:pPr>
        <w:pStyle w:val="Heading3"/>
        <w:bidi w:val="0"/>
        <w:spacing w:line="238" w:lineRule="auto"/>
      </w:pPr>
      <w:r w:rsidRPr="005650A9">
        <w:t>Conclusions</w:t>
      </w:r>
    </w:p>
    <w:p w:rsidR="00E97607" w:rsidRPr="00E97607" w:rsidRDefault="00E97607" w:rsidP="002D77A0">
      <w:pPr>
        <w:pStyle w:val="matn"/>
        <w:spacing w:line="238" w:lineRule="auto"/>
      </w:pPr>
      <w:r w:rsidRPr="00E97607">
        <w:t>In conclusion, this clinical investigation de</w:t>
      </w:r>
      <w:r w:rsidRPr="00E97607">
        <w:t>m</w:t>
      </w:r>
      <w:r w:rsidRPr="00E97607">
        <w:t>onstrated that general and neuraxial anesthesia have a similar incidence of postoperative co</w:t>
      </w:r>
      <w:r w:rsidRPr="00E97607">
        <w:t>m</w:t>
      </w:r>
      <w:r w:rsidRPr="00E97607">
        <w:t>plications and mortality in candidates of hip surgery. We believe that because of the less intraoperative hemorrhage, shorter hospital stay, and lower postoperative pain in patients undergoing neuraxial anesthesia for hip su</w:t>
      </w:r>
      <w:r w:rsidRPr="00E97607">
        <w:t>r</w:t>
      </w:r>
      <w:r w:rsidRPr="00E97607">
        <w:t>gery, this technique is superior as compared to general anesthesia.</w:t>
      </w:r>
    </w:p>
    <w:p w:rsidR="0078436F" w:rsidRDefault="00A94C25" w:rsidP="002D77A0">
      <w:pPr>
        <w:pStyle w:val="matn"/>
        <w:spacing w:line="238" w:lineRule="auto"/>
      </w:pPr>
      <w:r w:rsidRPr="00A94C25">
        <w:tab/>
      </w:r>
      <w:r w:rsidR="00E97607" w:rsidRPr="00E97607">
        <w:t>In a summary, the results suggest that more controlled studies with larger sample size and more precise diagnostic tests, in multiple ce</w:t>
      </w:r>
      <w:r w:rsidR="00E97607" w:rsidRPr="00E97607">
        <w:t>n</w:t>
      </w:r>
      <w:r w:rsidR="00E97607" w:rsidRPr="00E97607">
        <w:t>ters are needed to eliminate the limitations of our study.</w:t>
      </w:r>
    </w:p>
    <w:p w:rsidR="0078436F" w:rsidRPr="002C7CD4" w:rsidRDefault="0078436F" w:rsidP="002D77A0">
      <w:pPr>
        <w:pStyle w:val="matn"/>
        <w:spacing w:line="238" w:lineRule="auto"/>
        <w:sectPr w:rsidR="0078436F" w:rsidRPr="002C7CD4" w:rsidSect="0061636D">
          <w:type w:val="continuous"/>
          <w:pgSz w:w="11907" w:h="16840" w:code="9"/>
          <w:pgMar w:top="1814" w:right="1134" w:bottom="1701" w:left="1134" w:header="1247" w:footer="1247" w:gutter="0"/>
          <w:cols w:num="2" w:space="425"/>
          <w:titlePg/>
          <w:docGrid w:linePitch="360"/>
        </w:sectPr>
      </w:pPr>
    </w:p>
    <w:p w:rsidR="00001C2C" w:rsidRDefault="00001C2C" w:rsidP="002D77A0">
      <w:pPr>
        <w:pStyle w:val="Heading3"/>
        <w:bidi w:val="0"/>
        <w:spacing w:line="238" w:lineRule="auto"/>
      </w:pPr>
    </w:p>
    <w:p w:rsidR="00001C2C" w:rsidRDefault="00001C2C" w:rsidP="002D77A0">
      <w:pPr>
        <w:pStyle w:val="Heading3"/>
        <w:bidi w:val="0"/>
        <w:spacing w:line="238" w:lineRule="auto"/>
      </w:pPr>
      <w:r>
        <w:t xml:space="preserve">Conflict of </w:t>
      </w:r>
      <w:r w:rsidR="009A3635">
        <w:t>I</w:t>
      </w:r>
      <w:r>
        <w:t>nterest</w:t>
      </w:r>
      <w:r w:rsidR="00AA464B">
        <w:t>s</w:t>
      </w:r>
    </w:p>
    <w:p w:rsidR="00001C2C" w:rsidRDefault="00AD63C0" w:rsidP="002D77A0">
      <w:pPr>
        <w:pStyle w:val="matn"/>
        <w:spacing w:line="238" w:lineRule="auto"/>
      </w:pPr>
      <w:r>
        <w:t>Authors have no conflict of interests.</w:t>
      </w:r>
    </w:p>
    <w:p w:rsidR="008E3163" w:rsidRDefault="008E3163" w:rsidP="002D77A0">
      <w:pPr>
        <w:pStyle w:val="Heading3"/>
        <w:bidi w:val="0"/>
        <w:spacing w:line="238" w:lineRule="auto"/>
      </w:pPr>
      <w:r w:rsidRPr="008E3163">
        <w:t>Authors</w:t>
      </w:r>
      <w:r>
        <w:t>' Contributions</w:t>
      </w:r>
    </w:p>
    <w:p w:rsidR="002D77A0" w:rsidRDefault="002D77A0" w:rsidP="002D77A0">
      <w:pPr>
        <w:pStyle w:val="matn"/>
        <w:spacing w:line="238" w:lineRule="auto"/>
      </w:pPr>
      <w:r>
        <w:t>SMH collected the data and helped to write the manuscript. HS was one of the members of re</w:t>
      </w:r>
      <w:r>
        <w:t>a</w:t>
      </w:r>
      <w:r>
        <w:t>serch team and also helped to write the manuscript. SJH was one of the members of reaserch team, also helped to write the manuscript, and corrected the manuscript according to reviewers’ co</w:t>
      </w:r>
      <w:r>
        <w:t>m</w:t>
      </w:r>
      <w:r>
        <w:t>ments. RT was one of the members of reaserch team and also helped to write the manuscript. BS did statistical analysis.</w:t>
      </w:r>
      <w:r w:rsidRPr="002D77A0">
        <w:t xml:space="preserve"> All authors have read and approved the content of the manuscript.</w:t>
      </w:r>
    </w:p>
    <w:p w:rsidR="001C6B65" w:rsidRDefault="001C6B65" w:rsidP="002D77A0">
      <w:pPr>
        <w:pStyle w:val="Heading3"/>
        <w:bidi w:val="0"/>
        <w:spacing w:line="238" w:lineRule="auto"/>
      </w:pPr>
      <w:r>
        <w:lastRenderedPageBreak/>
        <w:t>Reference</w:t>
      </w:r>
      <w:r w:rsidR="00EE5F8C">
        <w:t>s</w:t>
      </w:r>
    </w:p>
    <w:p w:rsidR="00E97607" w:rsidRPr="00E97607" w:rsidRDefault="00E97607" w:rsidP="002D77A0">
      <w:pPr>
        <w:pStyle w:val="ref"/>
        <w:spacing w:line="238" w:lineRule="auto"/>
        <w:rPr>
          <w:spacing w:val="2"/>
        </w:rPr>
      </w:pPr>
      <w:r w:rsidRPr="00E97607">
        <w:rPr>
          <w:spacing w:val="2"/>
        </w:rPr>
        <w:t>Urwin SC, Parker MJ, Griffiths R. General versus regional anesthesia for hip fracture surgery: a meta-analysis of randomized trials. BJA 2000;</w:t>
      </w:r>
      <w:r w:rsidR="00FE4214">
        <w:rPr>
          <w:spacing w:val="2"/>
        </w:rPr>
        <w:t xml:space="preserve"> </w:t>
      </w:r>
      <w:r w:rsidRPr="00E97607">
        <w:rPr>
          <w:spacing w:val="2"/>
        </w:rPr>
        <w:t>84(4):</w:t>
      </w:r>
      <w:r w:rsidR="00FE4214">
        <w:rPr>
          <w:spacing w:val="2"/>
        </w:rPr>
        <w:t xml:space="preserve"> </w:t>
      </w:r>
      <w:r w:rsidRPr="00E97607">
        <w:rPr>
          <w:spacing w:val="2"/>
        </w:rPr>
        <w:t>450-5.</w:t>
      </w:r>
    </w:p>
    <w:p w:rsidR="00E97607" w:rsidRPr="00E97607" w:rsidRDefault="00E97607" w:rsidP="002D77A0">
      <w:pPr>
        <w:pStyle w:val="ref"/>
        <w:spacing w:line="238" w:lineRule="auto"/>
        <w:rPr>
          <w:spacing w:val="2"/>
          <w:rtl/>
        </w:rPr>
      </w:pPr>
      <w:r w:rsidRPr="00E97607">
        <w:rPr>
          <w:spacing w:val="2"/>
        </w:rPr>
        <w:t>Morand EF, Littlejohn GO. Medical problems in joint replacement patients: a retrospective study of 243 total hip arthroplasties. Med J Aust 1990;</w:t>
      </w:r>
      <w:r w:rsidR="00FE4214">
        <w:rPr>
          <w:spacing w:val="2"/>
        </w:rPr>
        <w:t xml:space="preserve"> </w:t>
      </w:r>
      <w:r w:rsidRPr="00E97607">
        <w:rPr>
          <w:spacing w:val="2"/>
        </w:rPr>
        <w:t>152(8):</w:t>
      </w:r>
      <w:r w:rsidR="00FE4214">
        <w:rPr>
          <w:spacing w:val="2"/>
        </w:rPr>
        <w:t xml:space="preserve"> </w:t>
      </w:r>
      <w:r w:rsidRPr="00E97607">
        <w:rPr>
          <w:spacing w:val="2"/>
        </w:rPr>
        <w:t>408-13.</w:t>
      </w:r>
    </w:p>
    <w:p w:rsidR="00E97607" w:rsidRPr="00E97607" w:rsidRDefault="00E97607" w:rsidP="002D77A0">
      <w:pPr>
        <w:pStyle w:val="ref"/>
        <w:spacing w:line="238" w:lineRule="auto"/>
        <w:rPr>
          <w:spacing w:val="2"/>
          <w:rtl/>
        </w:rPr>
      </w:pPr>
      <w:r w:rsidRPr="00E97607">
        <w:rPr>
          <w:spacing w:val="2"/>
        </w:rPr>
        <w:t>Rushman GB, Davies NJH, Cashman JN. Lee's synopsis of anaesthesia. 12</w:t>
      </w:r>
      <w:r w:rsidRPr="00E97607">
        <w:rPr>
          <w:spacing w:val="2"/>
          <w:vertAlign w:val="superscript"/>
        </w:rPr>
        <w:t>th</w:t>
      </w:r>
      <w:r w:rsidRPr="00E97607">
        <w:rPr>
          <w:spacing w:val="2"/>
        </w:rPr>
        <w:t xml:space="preserve"> ed. Oxford: Butterworth-Heinemann; 1999. p. 469, 272.</w:t>
      </w:r>
    </w:p>
    <w:p w:rsidR="00E97607" w:rsidRPr="00E97607" w:rsidRDefault="00E97607" w:rsidP="002D77A0">
      <w:pPr>
        <w:pStyle w:val="ref"/>
        <w:spacing w:line="238" w:lineRule="auto"/>
        <w:rPr>
          <w:spacing w:val="2"/>
          <w:rtl/>
        </w:rPr>
      </w:pPr>
      <w:r w:rsidRPr="00E97607">
        <w:rPr>
          <w:spacing w:val="2"/>
        </w:rPr>
        <w:t>Stoelting RK, Dierdorf SF. Anesthesia and co-existing disease. 4</w:t>
      </w:r>
      <w:r w:rsidRPr="00E97607">
        <w:rPr>
          <w:spacing w:val="2"/>
          <w:vertAlign w:val="superscript"/>
        </w:rPr>
        <w:t>th</w:t>
      </w:r>
      <w:r w:rsidRPr="00E97607">
        <w:rPr>
          <w:spacing w:val="2"/>
        </w:rPr>
        <w:t xml:space="preserve"> ed. New York: Churchill Livingstone; 2002. p. 747.</w:t>
      </w:r>
    </w:p>
    <w:p w:rsidR="00E97607" w:rsidRPr="00E97607" w:rsidRDefault="00E97607" w:rsidP="002D77A0">
      <w:pPr>
        <w:pStyle w:val="ref"/>
        <w:spacing w:line="238" w:lineRule="auto"/>
        <w:rPr>
          <w:spacing w:val="2"/>
        </w:rPr>
      </w:pPr>
      <w:r w:rsidRPr="00E97607">
        <w:rPr>
          <w:spacing w:val="2"/>
        </w:rPr>
        <w:t>Davis FM, Woolner DF, Frampton C, Wilkinson A, Grant A, Harrison RT, et al. Prospective, multi-centre trial of mortality following general or spinal anaesthesia for hip fracture surgery in the elderly. Br J Anaesth 1987;</w:t>
      </w:r>
      <w:r w:rsidR="00FE4214">
        <w:rPr>
          <w:spacing w:val="2"/>
        </w:rPr>
        <w:t xml:space="preserve"> </w:t>
      </w:r>
      <w:r w:rsidRPr="00E97607">
        <w:rPr>
          <w:spacing w:val="2"/>
        </w:rPr>
        <w:t>59(9):</w:t>
      </w:r>
      <w:r w:rsidR="00FE4214">
        <w:rPr>
          <w:spacing w:val="2"/>
        </w:rPr>
        <w:t xml:space="preserve"> </w:t>
      </w:r>
      <w:r w:rsidRPr="00E97607">
        <w:rPr>
          <w:spacing w:val="2"/>
        </w:rPr>
        <w:t xml:space="preserve">1080-8.  </w:t>
      </w:r>
    </w:p>
    <w:p w:rsidR="00E97607" w:rsidRPr="00E97607" w:rsidRDefault="00E97607" w:rsidP="002D77A0">
      <w:pPr>
        <w:pStyle w:val="ref"/>
        <w:spacing w:line="238" w:lineRule="auto"/>
        <w:rPr>
          <w:spacing w:val="2"/>
        </w:rPr>
      </w:pPr>
      <w:r w:rsidRPr="00E97607">
        <w:rPr>
          <w:spacing w:val="2"/>
        </w:rPr>
        <w:t>Goméz Navalón L, Marín Morales L, Zorrilla Ribot P, Martínez Delgado C, Salido Valle J. Spinal anesthesia: a protective factor in thromboembolic disease. A retrospective cohort study of 484 arthroplasties. Rev Esp Anest</w:t>
      </w:r>
      <w:r w:rsidRPr="00E97607">
        <w:rPr>
          <w:spacing w:val="2"/>
        </w:rPr>
        <w:t>e</w:t>
      </w:r>
      <w:r w:rsidRPr="00E97607">
        <w:rPr>
          <w:spacing w:val="2"/>
        </w:rPr>
        <w:t>siol Reanim 2001;</w:t>
      </w:r>
      <w:r w:rsidR="00FE4214">
        <w:rPr>
          <w:spacing w:val="2"/>
        </w:rPr>
        <w:t xml:space="preserve"> </w:t>
      </w:r>
      <w:r w:rsidRPr="00E97607">
        <w:rPr>
          <w:spacing w:val="2"/>
        </w:rPr>
        <w:t>48(3):</w:t>
      </w:r>
      <w:r w:rsidR="00FE4214">
        <w:rPr>
          <w:spacing w:val="2"/>
        </w:rPr>
        <w:t xml:space="preserve"> </w:t>
      </w:r>
      <w:r w:rsidRPr="00E97607">
        <w:rPr>
          <w:spacing w:val="2"/>
        </w:rPr>
        <w:t>113-6. (Spanish)</w:t>
      </w:r>
      <w:r w:rsidR="00FE4214">
        <w:rPr>
          <w:spacing w:val="2"/>
        </w:rPr>
        <w:t>.</w:t>
      </w:r>
    </w:p>
    <w:p w:rsidR="00E97607" w:rsidRPr="00E97607" w:rsidRDefault="00E97607" w:rsidP="002D77A0">
      <w:pPr>
        <w:pStyle w:val="ref"/>
        <w:spacing w:line="238" w:lineRule="auto"/>
        <w:rPr>
          <w:spacing w:val="2"/>
        </w:rPr>
      </w:pPr>
      <w:r w:rsidRPr="00E97607">
        <w:rPr>
          <w:spacing w:val="2"/>
        </w:rPr>
        <w:t>Sorenson RM, Pace NL. Anesthetic techniques during surgical repair of femoral neck fractures. A meta-analysis. Anesthesiology 1992;</w:t>
      </w:r>
      <w:r w:rsidR="00FE4214">
        <w:rPr>
          <w:spacing w:val="2"/>
        </w:rPr>
        <w:t xml:space="preserve"> </w:t>
      </w:r>
      <w:r w:rsidRPr="00E97607">
        <w:rPr>
          <w:spacing w:val="2"/>
        </w:rPr>
        <w:t>77(6):</w:t>
      </w:r>
      <w:r w:rsidR="00FE4214">
        <w:rPr>
          <w:spacing w:val="2"/>
        </w:rPr>
        <w:t xml:space="preserve"> </w:t>
      </w:r>
      <w:r w:rsidRPr="00E97607">
        <w:rPr>
          <w:spacing w:val="2"/>
        </w:rPr>
        <w:t xml:space="preserve">1095-104.  </w:t>
      </w:r>
    </w:p>
    <w:p w:rsidR="00E97607" w:rsidRPr="00E97607" w:rsidRDefault="00E97607" w:rsidP="002D77A0">
      <w:pPr>
        <w:pStyle w:val="ref"/>
        <w:spacing w:line="238" w:lineRule="auto"/>
        <w:rPr>
          <w:spacing w:val="2"/>
        </w:rPr>
      </w:pPr>
      <w:r w:rsidRPr="00FE4214">
        <w:rPr>
          <w:spacing w:val="2"/>
        </w:rPr>
        <w:t>Breen P</w:t>
      </w:r>
      <w:r w:rsidRPr="00E97607">
        <w:rPr>
          <w:spacing w:val="2"/>
        </w:rPr>
        <w:t xml:space="preserve">, </w:t>
      </w:r>
      <w:r w:rsidRPr="00FE4214">
        <w:rPr>
          <w:spacing w:val="2"/>
        </w:rPr>
        <w:t>Park KW</w:t>
      </w:r>
      <w:r w:rsidRPr="00E97607">
        <w:rPr>
          <w:spacing w:val="2"/>
        </w:rPr>
        <w:t xml:space="preserve">. General anesthesia versus regional anesthesia. </w:t>
      </w:r>
      <w:r w:rsidRPr="00FE4214">
        <w:rPr>
          <w:spacing w:val="2"/>
        </w:rPr>
        <w:t>Int Anesthesiol Clin</w:t>
      </w:r>
      <w:r w:rsidRPr="00E97607">
        <w:rPr>
          <w:spacing w:val="2"/>
        </w:rPr>
        <w:t xml:space="preserve"> 2002;</w:t>
      </w:r>
      <w:r w:rsidR="00FE4214">
        <w:rPr>
          <w:spacing w:val="2"/>
        </w:rPr>
        <w:t xml:space="preserve"> </w:t>
      </w:r>
      <w:r w:rsidRPr="00E97607">
        <w:rPr>
          <w:spacing w:val="2"/>
        </w:rPr>
        <w:t>40(1):</w:t>
      </w:r>
      <w:r w:rsidR="00FE4214">
        <w:rPr>
          <w:spacing w:val="2"/>
        </w:rPr>
        <w:t xml:space="preserve"> </w:t>
      </w:r>
      <w:r w:rsidRPr="00E97607">
        <w:rPr>
          <w:spacing w:val="2"/>
        </w:rPr>
        <w:t>61-71.</w:t>
      </w:r>
    </w:p>
    <w:p w:rsidR="00E97607" w:rsidRPr="00E97607" w:rsidRDefault="00E97607" w:rsidP="002D77A0">
      <w:pPr>
        <w:pStyle w:val="ref"/>
        <w:spacing w:line="238" w:lineRule="auto"/>
        <w:rPr>
          <w:spacing w:val="2"/>
        </w:rPr>
      </w:pPr>
      <w:r w:rsidRPr="00E97607">
        <w:rPr>
          <w:spacing w:val="2"/>
        </w:rPr>
        <w:t xml:space="preserve">O'Hara DA, Duff A, Berlin JA, Poses RM, Lawrence VA, Huber EC, et al. The effect of anesthetic technique on postoperative outcomes in hip fracture repair. </w:t>
      </w:r>
      <w:r w:rsidRPr="00FE4214">
        <w:rPr>
          <w:spacing w:val="2"/>
        </w:rPr>
        <w:t>Anesthesiology</w:t>
      </w:r>
      <w:r w:rsidRPr="00E97607">
        <w:rPr>
          <w:spacing w:val="2"/>
        </w:rPr>
        <w:t xml:space="preserve"> 2000;</w:t>
      </w:r>
      <w:r w:rsidR="00FE4214">
        <w:rPr>
          <w:spacing w:val="2"/>
        </w:rPr>
        <w:t xml:space="preserve"> </w:t>
      </w:r>
      <w:r w:rsidRPr="00E97607">
        <w:rPr>
          <w:spacing w:val="2"/>
        </w:rPr>
        <w:t>92(4):</w:t>
      </w:r>
      <w:r w:rsidR="00FE4214">
        <w:rPr>
          <w:spacing w:val="2"/>
        </w:rPr>
        <w:t xml:space="preserve"> </w:t>
      </w:r>
      <w:r w:rsidRPr="00E97607">
        <w:rPr>
          <w:spacing w:val="2"/>
        </w:rPr>
        <w:t>947-57.</w:t>
      </w:r>
    </w:p>
    <w:p w:rsidR="00E97607" w:rsidRPr="00E97607" w:rsidRDefault="00E97607" w:rsidP="002D77A0">
      <w:pPr>
        <w:pStyle w:val="ref"/>
        <w:spacing w:line="238" w:lineRule="auto"/>
        <w:rPr>
          <w:spacing w:val="2"/>
        </w:rPr>
      </w:pPr>
      <w:r w:rsidRPr="00E97607">
        <w:rPr>
          <w:spacing w:val="2"/>
        </w:rPr>
        <w:t>Gilbert TB, Hawkes WG, Hebel JR, Hudson JI, Kenzora JE, Zimmerman SI,</w:t>
      </w:r>
      <w:r w:rsidRPr="00E97607">
        <w:rPr>
          <w:b/>
          <w:bCs/>
          <w:spacing w:val="2"/>
        </w:rPr>
        <w:t xml:space="preserve"> </w:t>
      </w:r>
      <w:r w:rsidRPr="00E97607">
        <w:rPr>
          <w:spacing w:val="2"/>
        </w:rPr>
        <w:t>et al. Spinal anesthesia versus ge</w:t>
      </w:r>
      <w:r w:rsidRPr="00E97607">
        <w:rPr>
          <w:spacing w:val="2"/>
        </w:rPr>
        <w:t>n</w:t>
      </w:r>
      <w:r w:rsidRPr="00E97607">
        <w:rPr>
          <w:spacing w:val="2"/>
        </w:rPr>
        <w:t>eral anesthesia for hip fracture repair: a longitudinal observation of 741 elderly patients during 2-year follow-up. Am J Orthop (Belle Mead NJ) 2000;</w:t>
      </w:r>
      <w:r w:rsidR="00FE4214">
        <w:rPr>
          <w:spacing w:val="2"/>
        </w:rPr>
        <w:t xml:space="preserve"> </w:t>
      </w:r>
      <w:r w:rsidRPr="00E97607">
        <w:rPr>
          <w:spacing w:val="2"/>
        </w:rPr>
        <w:t>29(1):</w:t>
      </w:r>
      <w:r w:rsidR="00FE4214">
        <w:rPr>
          <w:spacing w:val="2"/>
        </w:rPr>
        <w:t xml:space="preserve"> </w:t>
      </w:r>
      <w:r w:rsidRPr="00E97607">
        <w:rPr>
          <w:spacing w:val="2"/>
        </w:rPr>
        <w:t xml:space="preserve">25-35.  </w:t>
      </w:r>
    </w:p>
    <w:p w:rsidR="00E97607" w:rsidRPr="00E97607" w:rsidRDefault="00E97607" w:rsidP="002D77A0">
      <w:pPr>
        <w:pStyle w:val="ref"/>
        <w:spacing w:line="238" w:lineRule="auto"/>
        <w:rPr>
          <w:spacing w:val="2"/>
        </w:rPr>
      </w:pPr>
      <w:r w:rsidRPr="00E97607">
        <w:rPr>
          <w:spacing w:val="2"/>
        </w:rPr>
        <w:t>Kirby RR, Gravenstein N, Lobato EB, Gravenstein JS. Clinical anesthesia practice. 2</w:t>
      </w:r>
      <w:r w:rsidRPr="00E97607">
        <w:rPr>
          <w:spacing w:val="2"/>
          <w:vertAlign w:val="superscript"/>
        </w:rPr>
        <w:t>nd</w:t>
      </w:r>
      <w:r w:rsidRPr="00E97607">
        <w:rPr>
          <w:spacing w:val="2"/>
        </w:rPr>
        <w:t xml:space="preserve"> ed. Philadelphia: W.B. Saunders; 2002. p. 584.</w:t>
      </w:r>
    </w:p>
    <w:p w:rsidR="00E97607" w:rsidRPr="00E97607" w:rsidRDefault="00E97607" w:rsidP="002D77A0">
      <w:pPr>
        <w:pStyle w:val="ref"/>
        <w:spacing w:line="238" w:lineRule="auto"/>
        <w:rPr>
          <w:spacing w:val="2"/>
        </w:rPr>
      </w:pPr>
      <w:r w:rsidRPr="00E97607">
        <w:rPr>
          <w:spacing w:val="2"/>
        </w:rPr>
        <w:t>Guay J. The effect of neuraxial blocks on surgical blood transfusion requirements: a meta-analysis. J Clin Anesth 2006;</w:t>
      </w:r>
      <w:r w:rsidR="00FE4214">
        <w:rPr>
          <w:spacing w:val="2"/>
        </w:rPr>
        <w:t xml:space="preserve"> </w:t>
      </w:r>
      <w:r w:rsidRPr="00E97607">
        <w:rPr>
          <w:spacing w:val="2"/>
        </w:rPr>
        <w:t>18(2):</w:t>
      </w:r>
      <w:r w:rsidR="00FE4214">
        <w:rPr>
          <w:spacing w:val="2"/>
        </w:rPr>
        <w:t xml:space="preserve"> </w:t>
      </w:r>
      <w:r w:rsidRPr="00E97607">
        <w:rPr>
          <w:spacing w:val="2"/>
        </w:rPr>
        <w:t xml:space="preserve">124-8. </w:t>
      </w:r>
    </w:p>
    <w:p w:rsidR="00E97607" w:rsidRPr="00E97607" w:rsidRDefault="00E97607" w:rsidP="002D77A0">
      <w:pPr>
        <w:pStyle w:val="ref"/>
        <w:spacing w:line="238" w:lineRule="auto"/>
        <w:rPr>
          <w:spacing w:val="2"/>
        </w:rPr>
      </w:pPr>
      <w:r w:rsidRPr="00E97607">
        <w:rPr>
          <w:spacing w:val="2"/>
        </w:rPr>
        <w:t>Richman JM, Rowlingson AJ, Maine DN, Courpas GE, Weller JF, Wu CL. Does neuraxial anesthesia reduce intraoperative blood loss? A meta-analysis. J Clin Anesth 2006;</w:t>
      </w:r>
      <w:r w:rsidR="00FE4214">
        <w:rPr>
          <w:spacing w:val="2"/>
        </w:rPr>
        <w:t xml:space="preserve"> </w:t>
      </w:r>
      <w:r w:rsidRPr="00E97607">
        <w:rPr>
          <w:spacing w:val="2"/>
        </w:rPr>
        <w:t>18(6):</w:t>
      </w:r>
      <w:r w:rsidR="00FE4214">
        <w:rPr>
          <w:spacing w:val="2"/>
        </w:rPr>
        <w:t xml:space="preserve"> </w:t>
      </w:r>
      <w:r w:rsidRPr="00E97607">
        <w:rPr>
          <w:spacing w:val="2"/>
        </w:rPr>
        <w:t>427-35.</w:t>
      </w:r>
    </w:p>
    <w:p w:rsidR="00E97607" w:rsidRPr="00E97607" w:rsidRDefault="00E97607" w:rsidP="002D77A0">
      <w:pPr>
        <w:pStyle w:val="ref"/>
        <w:spacing w:line="238" w:lineRule="auto"/>
        <w:rPr>
          <w:spacing w:val="2"/>
        </w:rPr>
      </w:pPr>
      <w:r w:rsidRPr="00FE4214">
        <w:rPr>
          <w:spacing w:val="2"/>
        </w:rPr>
        <w:t>Macfarlane AJ</w:t>
      </w:r>
      <w:r w:rsidRPr="00E97607">
        <w:rPr>
          <w:spacing w:val="2"/>
        </w:rPr>
        <w:t xml:space="preserve">, </w:t>
      </w:r>
      <w:r w:rsidRPr="00FE4214">
        <w:rPr>
          <w:spacing w:val="2"/>
        </w:rPr>
        <w:t>Prasad GA</w:t>
      </w:r>
      <w:r w:rsidRPr="00E97607">
        <w:rPr>
          <w:spacing w:val="2"/>
        </w:rPr>
        <w:t xml:space="preserve">, </w:t>
      </w:r>
      <w:r w:rsidRPr="00FE4214">
        <w:rPr>
          <w:spacing w:val="2"/>
        </w:rPr>
        <w:t>Chan VW</w:t>
      </w:r>
      <w:r w:rsidRPr="00E97607">
        <w:rPr>
          <w:spacing w:val="2"/>
        </w:rPr>
        <w:t>, Brull R. Does regional anaesthesia improve outcome after total hip art</w:t>
      </w:r>
      <w:r w:rsidRPr="00E97607">
        <w:rPr>
          <w:spacing w:val="2"/>
        </w:rPr>
        <w:t>h</w:t>
      </w:r>
      <w:r w:rsidRPr="00E97607">
        <w:rPr>
          <w:spacing w:val="2"/>
        </w:rPr>
        <w:t>roplasty? A systematic review. Br J Anaesth 2009;</w:t>
      </w:r>
      <w:r w:rsidR="00FE4214">
        <w:rPr>
          <w:spacing w:val="2"/>
        </w:rPr>
        <w:t xml:space="preserve"> </w:t>
      </w:r>
      <w:r w:rsidRPr="00E97607">
        <w:rPr>
          <w:spacing w:val="2"/>
        </w:rPr>
        <w:t>103(3):</w:t>
      </w:r>
      <w:r w:rsidR="00FE4214">
        <w:rPr>
          <w:spacing w:val="2"/>
        </w:rPr>
        <w:t xml:space="preserve"> </w:t>
      </w:r>
      <w:r w:rsidRPr="00E97607">
        <w:rPr>
          <w:spacing w:val="2"/>
        </w:rPr>
        <w:t xml:space="preserve">335-45. </w:t>
      </w:r>
    </w:p>
    <w:p w:rsidR="00E97607" w:rsidRPr="00E97607" w:rsidRDefault="00E97607" w:rsidP="002D77A0">
      <w:pPr>
        <w:pStyle w:val="ref"/>
        <w:spacing w:line="238" w:lineRule="auto"/>
        <w:rPr>
          <w:spacing w:val="2"/>
        </w:rPr>
      </w:pPr>
      <w:r w:rsidRPr="00E97607">
        <w:rPr>
          <w:spacing w:val="2"/>
        </w:rPr>
        <w:t>Mauermann WJ, Shilling AM, Zuo Z. A</w:t>
      </w:r>
      <w:r w:rsidRPr="00E97607">
        <w:rPr>
          <w:b/>
          <w:bCs/>
          <w:spacing w:val="2"/>
        </w:rPr>
        <w:t xml:space="preserve"> </w:t>
      </w:r>
      <w:r w:rsidRPr="00E97607">
        <w:rPr>
          <w:spacing w:val="2"/>
        </w:rPr>
        <w:t>comparison</w:t>
      </w:r>
      <w:r w:rsidRPr="00E97607">
        <w:rPr>
          <w:b/>
          <w:bCs/>
          <w:spacing w:val="2"/>
        </w:rPr>
        <w:t xml:space="preserve"> </w:t>
      </w:r>
      <w:r w:rsidRPr="00E97607">
        <w:rPr>
          <w:spacing w:val="2"/>
        </w:rPr>
        <w:t>of neuraxial block versus general anesthesia for elective total hip replacement: a meta-analysis. Anesth Analg 2006;</w:t>
      </w:r>
      <w:r w:rsidR="00FE4214">
        <w:rPr>
          <w:spacing w:val="2"/>
        </w:rPr>
        <w:t xml:space="preserve"> </w:t>
      </w:r>
      <w:r w:rsidRPr="00E97607">
        <w:rPr>
          <w:spacing w:val="2"/>
        </w:rPr>
        <w:t>103(4):</w:t>
      </w:r>
      <w:r w:rsidR="00FE4214">
        <w:rPr>
          <w:spacing w:val="2"/>
        </w:rPr>
        <w:t xml:space="preserve"> </w:t>
      </w:r>
      <w:r w:rsidRPr="00E97607">
        <w:rPr>
          <w:spacing w:val="2"/>
        </w:rPr>
        <w:t>1018-25.</w:t>
      </w:r>
    </w:p>
    <w:p w:rsidR="00E97607" w:rsidRPr="00E97607" w:rsidRDefault="00E97607" w:rsidP="002D77A0">
      <w:pPr>
        <w:pStyle w:val="ref"/>
        <w:spacing w:line="238" w:lineRule="auto"/>
        <w:rPr>
          <w:spacing w:val="2"/>
        </w:rPr>
      </w:pPr>
      <w:r w:rsidRPr="00E97607">
        <w:rPr>
          <w:spacing w:val="2"/>
        </w:rPr>
        <w:t>Barbier-Böhm G, Desmonts JM, Couderc E, Moulin D, Prokocimer P, Olivier H. Comparative effects of induced hypotension and normovolaemic haemodilution on blood loss in total hip arthroplasty. Br J Anaesth 1980;</w:t>
      </w:r>
      <w:r w:rsidR="00FE4214">
        <w:rPr>
          <w:spacing w:val="2"/>
        </w:rPr>
        <w:t xml:space="preserve"> </w:t>
      </w:r>
      <w:r w:rsidRPr="00E97607">
        <w:rPr>
          <w:spacing w:val="2"/>
        </w:rPr>
        <w:t>52(10):</w:t>
      </w:r>
      <w:r w:rsidR="00FE4214">
        <w:rPr>
          <w:spacing w:val="2"/>
        </w:rPr>
        <w:t xml:space="preserve"> </w:t>
      </w:r>
      <w:r w:rsidRPr="00E97607">
        <w:rPr>
          <w:spacing w:val="2"/>
        </w:rPr>
        <w:t>1039-43.</w:t>
      </w:r>
    </w:p>
    <w:p w:rsidR="00E97607" w:rsidRPr="00E97607" w:rsidRDefault="00E97607" w:rsidP="002D77A0">
      <w:pPr>
        <w:pStyle w:val="ref"/>
        <w:spacing w:line="238" w:lineRule="auto"/>
        <w:rPr>
          <w:spacing w:val="2"/>
        </w:rPr>
      </w:pPr>
      <w:r w:rsidRPr="00E97607">
        <w:rPr>
          <w:spacing w:val="2"/>
        </w:rPr>
        <w:t>Modig J. Regional anesthesia and blood loss. Acta Anaesthesiol Scand 1988;</w:t>
      </w:r>
      <w:r w:rsidR="00FE4214">
        <w:rPr>
          <w:spacing w:val="2"/>
        </w:rPr>
        <w:t xml:space="preserve"> </w:t>
      </w:r>
      <w:r w:rsidRPr="00E97607">
        <w:rPr>
          <w:spacing w:val="2"/>
        </w:rPr>
        <w:t>32</w:t>
      </w:r>
      <w:r w:rsidR="00FE4214">
        <w:rPr>
          <w:spacing w:val="2"/>
        </w:rPr>
        <w:t>(</w:t>
      </w:r>
      <w:r w:rsidRPr="00E97607">
        <w:rPr>
          <w:spacing w:val="2"/>
        </w:rPr>
        <w:t>Suppl s89</w:t>
      </w:r>
      <w:r w:rsidR="00FE4214">
        <w:rPr>
          <w:spacing w:val="2"/>
        </w:rPr>
        <w:t>)</w:t>
      </w:r>
      <w:r w:rsidRPr="00E97607">
        <w:rPr>
          <w:spacing w:val="2"/>
        </w:rPr>
        <w:t>:</w:t>
      </w:r>
      <w:r w:rsidR="00FE4214">
        <w:rPr>
          <w:spacing w:val="2"/>
        </w:rPr>
        <w:t xml:space="preserve"> </w:t>
      </w:r>
      <w:r w:rsidRPr="00E97607">
        <w:rPr>
          <w:spacing w:val="2"/>
        </w:rPr>
        <w:t>44-8.</w:t>
      </w:r>
    </w:p>
    <w:p w:rsidR="00E97607" w:rsidRPr="00E97607" w:rsidRDefault="00E97607" w:rsidP="002D77A0">
      <w:pPr>
        <w:pStyle w:val="ref"/>
        <w:spacing w:line="238" w:lineRule="auto"/>
        <w:rPr>
          <w:spacing w:val="2"/>
        </w:rPr>
      </w:pPr>
      <w:r w:rsidRPr="00E97607">
        <w:rPr>
          <w:spacing w:val="2"/>
        </w:rPr>
        <w:t>Møiniche S, Hjortsø NC, Hansen BL, Dahl JB, Rosenberg J, Gebuhr P, et al. The effect of balanced analgesia on early convalescence after major orthopaedic surgery. Acta Anaesthesiol Scand 1994;</w:t>
      </w:r>
      <w:r w:rsidR="00FE4214">
        <w:rPr>
          <w:spacing w:val="2"/>
        </w:rPr>
        <w:t xml:space="preserve"> </w:t>
      </w:r>
      <w:r w:rsidRPr="00E97607">
        <w:rPr>
          <w:spacing w:val="2"/>
        </w:rPr>
        <w:t>38(4):</w:t>
      </w:r>
      <w:r w:rsidR="00FE4214">
        <w:rPr>
          <w:spacing w:val="2"/>
        </w:rPr>
        <w:t xml:space="preserve"> </w:t>
      </w:r>
      <w:r w:rsidRPr="00E97607">
        <w:rPr>
          <w:spacing w:val="2"/>
        </w:rPr>
        <w:t>328-35.</w:t>
      </w:r>
    </w:p>
    <w:p w:rsidR="00E97607" w:rsidRPr="00E97607" w:rsidRDefault="00E97607" w:rsidP="002D77A0">
      <w:pPr>
        <w:pStyle w:val="ref"/>
        <w:spacing w:line="238" w:lineRule="auto"/>
        <w:rPr>
          <w:spacing w:val="2"/>
        </w:rPr>
      </w:pPr>
      <w:r w:rsidRPr="00E97607">
        <w:rPr>
          <w:spacing w:val="2"/>
        </w:rPr>
        <w:t>Sutcliffe AJ, Parker M. Mortality after spinal and general anaesthesia for surgical fixation of hip fractures. Anaesthesia 1994;</w:t>
      </w:r>
      <w:r w:rsidR="00FE4214">
        <w:rPr>
          <w:spacing w:val="2"/>
        </w:rPr>
        <w:t xml:space="preserve"> </w:t>
      </w:r>
      <w:r w:rsidRPr="00E97607">
        <w:rPr>
          <w:spacing w:val="2"/>
        </w:rPr>
        <w:t>49(3):</w:t>
      </w:r>
      <w:r w:rsidR="00FE4214">
        <w:rPr>
          <w:spacing w:val="2"/>
        </w:rPr>
        <w:t xml:space="preserve"> </w:t>
      </w:r>
      <w:r w:rsidRPr="00E97607">
        <w:rPr>
          <w:spacing w:val="2"/>
        </w:rPr>
        <w:t>237-40.</w:t>
      </w:r>
    </w:p>
    <w:p w:rsidR="00E97607" w:rsidRPr="00E97607" w:rsidRDefault="00E97607" w:rsidP="002D77A0">
      <w:pPr>
        <w:pStyle w:val="ref"/>
        <w:spacing w:line="238" w:lineRule="auto"/>
        <w:rPr>
          <w:spacing w:val="2"/>
        </w:rPr>
      </w:pPr>
      <w:r w:rsidRPr="00E97607">
        <w:rPr>
          <w:spacing w:val="2"/>
        </w:rPr>
        <w:t>Vaida SJ, Ben David B, Somri M, Croitoru M, Sabo E, Gaitini L. The influence of preemptive spinal anesthesia on postoperative pain. J Clin Anesth 2000;</w:t>
      </w:r>
      <w:r w:rsidR="00FE4214">
        <w:rPr>
          <w:spacing w:val="2"/>
        </w:rPr>
        <w:t xml:space="preserve"> </w:t>
      </w:r>
      <w:r w:rsidRPr="00E97607">
        <w:rPr>
          <w:spacing w:val="2"/>
        </w:rPr>
        <w:t>12(5):</w:t>
      </w:r>
      <w:r w:rsidR="00FE4214">
        <w:rPr>
          <w:spacing w:val="2"/>
        </w:rPr>
        <w:t xml:space="preserve"> </w:t>
      </w:r>
      <w:r w:rsidRPr="00E97607">
        <w:rPr>
          <w:spacing w:val="2"/>
        </w:rPr>
        <w:t>374-7.</w:t>
      </w:r>
    </w:p>
    <w:p w:rsidR="00E97607" w:rsidRPr="00E97607" w:rsidRDefault="00E97607" w:rsidP="002D77A0">
      <w:pPr>
        <w:pStyle w:val="ref"/>
        <w:spacing w:line="238" w:lineRule="auto"/>
        <w:rPr>
          <w:spacing w:val="2"/>
        </w:rPr>
      </w:pPr>
      <w:r w:rsidRPr="00E97607">
        <w:rPr>
          <w:spacing w:val="2"/>
        </w:rPr>
        <w:t>Gonano C, Leitgeb U, Sitzwohl C, Ihra G, Weinstabl C, Kettner SC. Spinal versus general anesthesia for orth</w:t>
      </w:r>
      <w:r w:rsidRPr="00E97607">
        <w:rPr>
          <w:spacing w:val="2"/>
        </w:rPr>
        <w:t>o</w:t>
      </w:r>
      <w:r w:rsidRPr="00E97607">
        <w:rPr>
          <w:spacing w:val="2"/>
        </w:rPr>
        <w:t>pedic surgery: anesthesia drug and supply cost. Anesth Analg 2006;</w:t>
      </w:r>
      <w:r w:rsidR="00FE4214">
        <w:rPr>
          <w:spacing w:val="2"/>
        </w:rPr>
        <w:t xml:space="preserve"> </w:t>
      </w:r>
      <w:r w:rsidRPr="00E97607">
        <w:rPr>
          <w:spacing w:val="2"/>
        </w:rPr>
        <w:t>102(2):</w:t>
      </w:r>
      <w:r w:rsidR="00FE4214">
        <w:rPr>
          <w:spacing w:val="2"/>
        </w:rPr>
        <w:t xml:space="preserve"> </w:t>
      </w:r>
      <w:r w:rsidRPr="00E97607">
        <w:rPr>
          <w:spacing w:val="2"/>
        </w:rPr>
        <w:t>524-9.</w:t>
      </w:r>
    </w:p>
    <w:p w:rsidR="00E97607" w:rsidRPr="00E97607" w:rsidRDefault="00E97607" w:rsidP="002D77A0">
      <w:pPr>
        <w:pStyle w:val="ref"/>
        <w:spacing w:line="238" w:lineRule="auto"/>
        <w:rPr>
          <w:spacing w:val="2"/>
        </w:rPr>
      </w:pPr>
      <w:r w:rsidRPr="00E97607">
        <w:rPr>
          <w:spacing w:val="2"/>
        </w:rPr>
        <w:t>Liu SS, Strodtbeck WM, Richman JM, Wu CL. A comparison of regional versus general anesthesia for ambulat</w:t>
      </w:r>
      <w:r w:rsidRPr="00E97607">
        <w:rPr>
          <w:spacing w:val="2"/>
        </w:rPr>
        <w:t>o</w:t>
      </w:r>
      <w:r w:rsidRPr="00E97607">
        <w:rPr>
          <w:spacing w:val="2"/>
        </w:rPr>
        <w:t>ry anesthesia: a meta-analysis of randomized controlled trials. Anesth Analg 2005;</w:t>
      </w:r>
      <w:r w:rsidR="00FE4214">
        <w:rPr>
          <w:spacing w:val="2"/>
        </w:rPr>
        <w:t xml:space="preserve"> </w:t>
      </w:r>
      <w:r w:rsidRPr="00E97607">
        <w:rPr>
          <w:spacing w:val="2"/>
        </w:rPr>
        <w:t>101(6):</w:t>
      </w:r>
      <w:r w:rsidR="00FE4214">
        <w:rPr>
          <w:spacing w:val="2"/>
        </w:rPr>
        <w:t xml:space="preserve"> </w:t>
      </w:r>
      <w:r w:rsidRPr="00E97607">
        <w:rPr>
          <w:spacing w:val="2"/>
        </w:rPr>
        <w:t>1634-42.</w:t>
      </w:r>
    </w:p>
    <w:p w:rsidR="00E97607" w:rsidRPr="00E97607" w:rsidRDefault="00E97607" w:rsidP="002D77A0">
      <w:pPr>
        <w:pStyle w:val="ref"/>
        <w:spacing w:line="238" w:lineRule="auto"/>
        <w:rPr>
          <w:spacing w:val="2"/>
        </w:rPr>
      </w:pPr>
      <w:r w:rsidRPr="00E97607">
        <w:rPr>
          <w:spacing w:val="2"/>
        </w:rPr>
        <w:t>Singh N, Sidawy AN, Dezee K, Neville RF, Weiswasser J, Arora S, et al. The effect of the type of anesthesia on outcomes of lower extremity infrainguinal bypass. J Vasc Surg 2006;</w:t>
      </w:r>
      <w:r w:rsidR="00FE4214">
        <w:rPr>
          <w:spacing w:val="2"/>
        </w:rPr>
        <w:t xml:space="preserve"> </w:t>
      </w:r>
      <w:r w:rsidRPr="00E97607">
        <w:rPr>
          <w:spacing w:val="2"/>
        </w:rPr>
        <w:t>44(5):</w:t>
      </w:r>
      <w:r w:rsidR="00FE4214">
        <w:rPr>
          <w:spacing w:val="2"/>
        </w:rPr>
        <w:t xml:space="preserve"> </w:t>
      </w:r>
      <w:r w:rsidRPr="00E97607">
        <w:rPr>
          <w:spacing w:val="2"/>
        </w:rPr>
        <w:t>964-8, Discussion 968-70.</w:t>
      </w:r>
    </w:p>
    <w:p w:rsidR="00E97607" w:rsidRPr="00E97607" w:rsidRDefault="00E97607" w:rsidP="002D77A0">
      <w:pPr>
        <w:pStyle w:val="ref"/>
        <w:spacing w:line="238" w:lineRule="auto"/>
        <w:rPr>
          <w:spacing w:val="2"/>
        </w:rPr>
      </w:pPr>
      <w:r w:rsidRPr="00E97607">
        <w:rPr>
          <w:spacing w:val="2"/>
        </w:rPr>
        <w:t>Rodgers A, Walker N, Schug S, McKee A, Kehlet H, van Zundert A, et al. Reduction of postoperative mortality and morbidity with epidural or spinal anaesthesia: results from overview of randomised trials. BMJ 2000;</w:t>
      </w:r>
      <w:r w:rsidR="00FE4214">
        <w:rPr>
          <w:spacing w:val="2"/>
        </w:rPr>
        <w:t xml:space="preserve"> </w:t>
      </w:r>
      <w:r w:rsidRPr="00E97607">
        <w:rPr>
          <w:spacing w:val="2"/>
        </w:rPr>
        <w:t>321(7275):</w:t>
      </w:r>
      <w:r w:rsidR="00FE4214">
        <w:rPr>
          <w:spacing w:val="2"/>
        </w:rPr>
        <w:t xml:space="preserve"> </w:t>
      </w:r>
      <w:r w:rsidRPr="00E97607">
        <w:rPr>
          <w:spacing w:val="2"/>
        </w:rPr>
        <w:t>1493.</w:t>
      </w:r>
    </w:p>
    <w:p w:rsidR="00E97607" w:rsidRPr="00E97607" w:rsidRDefault="00E97607" w:rsidP="002D77A0">
      <w:pPr>
        <w:pStyle w:val="ref"/>
        <w:spacing w:line="238" w:lineRule="auto"/>
        <w:rPr>
          <w:spacing w:val="2"/>
        </w:rPr>
      </w:pPr>
      <w:r w:rsidRPr="00E97607">
        <w:rPr>
          <w:spacing w:val="2"/>
        </w:rPr>
        <w:t>Barbosa FT, Cavalcante JC, Jucá MJ, Castro AA. Neuraxial anaesthesia for lower-limb revascularization. Coc</w:t>
      </w:r>
      <w:r w:rsidRPr="00E97607">
        <w:rPr>
          <w:spacing w:val="2"/>
        </w:rPr>
        <w:t>h</w:t>
      </w:r>
      <w:r w:rsidRPr="00E97607">
        <w:rPr>
          <w:spacing w:val="2"/>
        </w:rPr>
        <w:t>rane Database Syst Rev 2010;</w:t>
      </w:r>
      <w:r w:rsidR="00FE4214">
        <w:rPr>
          <w:spacing w:val="2"/>
        </w:rPr>
        <w:t xml:space="preserve"> </w:t>
      </w:r>
      <w:r w:rsidRPr="00E97607">
        <w:rPr>
          <w:spacing w:val="2"/>
        </w:rPr>
        <w:t>(1):</w:t>
      </w:r>
      <w:r w:rsidR="00FE4214">
        <w:rPr>
          <w:spacing w:val="2"/>
        </w:rPr>
        <w:t xml:space="preserve"> </w:t>
      </w:r>
      <w:r w:rsidRPr="00E97607">
        <w:rPr>
          <w:spacing w:val="2"/>
        </w:rPr>
        <w:t>CD007083.</w:t>
      </w:r>
    </w:p>
    <w:p w:rsidR="009A3635" w:rsidRPr="0010254F" w:rsidRDefault="00E97607" w:rsidP="002D77A0">
      <w:pPr>
        <w:pStyle w:val="ref"/>
        <w:spacing w:line="238" w:lineRule="auto"/>
      </w:pPr>
      <w:r w:rsidRPr="00E97607">
        <w:rPr>
          <w:spacing w:val="2"/>
        </w:rPr>
        <w:t>Parker MJ, Handoll HH, Griffiths R. Anaesthesia for hip fracture surgery in adults. Cochrane Database Syst Rev 2001;</w:t>
      </w:r>
      <w:r w:rsidR="00FE4214">
        <w:rPr>
          <w:spacing w:val="2"/>
        </w:rPr>
        <w:t xml:space="preserve"> </w:t>
      </w:r>
      <w:r w:rsidRPr="00E97607">
        <w:rPr>
          <w:spacing w:val="2"/>
        </w:rPr>
        <w:t>(4):</w:t>
      </w:r>
      <w:r w:rsidR="00FE4214">
        <w:rPr>
          <w:spacing w:val="2"/>
        </w:rPr>
        <w:t xml:space="preserve"> </w:t>
      </w:r>
      <w:r w:rsidRPr="00E97607">
        <w:rPr>
          <w:spacing w:val="2"/>
        </w:rPr>
        <w:t>CD000521.</w:t>
      </w:r>
    </w:p>
    <w:p w:rsidR="00F13F57" w:rsidRPr="00F13F57" w:rsidRDefault="00F13F57" w:rsidP="002D77A0">
      <w:pPr>
        <w:pStyle w:val="ref"/>
        <w:numPr>
          <w:ilvl w:val="0"/>
          <w:numId w:val="0"/>
        </w:numPr>
        <w:spacing w:line="238" w:lineRule="auto"/>
      </w:pPr>
    </w:p>
    <w:sectPr w:rsidR="00F13F57" w:rsidRPr="00F13F57" w:rsidSect="00331FB6">
      <w:headerReference w:type="default" r:id="rId17"/>
      <w:footerReference w:type="even" r:id="rId18"/>
      <w:footerReference w:type="default" r:id="rId19"/>
      <w:type w:val="continuous"/>
      <w:pgSz w:w="11907" w:h="16840" w:code="9"/>
      <w:pgMar w:top="1814" w:right="1134" w:bottom="1701" w:left="1134" w:header="1247" w:footer="12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B7" w:rsidRDefault="004C7DB7">
      <w:pPr>
        <w:jc w:val="right"/>
      </w:pPr>
      <w:r>
        <w:separator/>
      </w:r>
    </w:p>
  </w:endnote>
  <w:endnote w:type="continuationSeparator" w:id="0">
    <w:p w:rsidR="004C7DB7" w:rsidRDefault="004C7DB7">
      <w:pPr>
        <w:jc w:val="righ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r">
    <w:altName w:val="B Zar"/>
    <w:charset w:val="B2"/>
    <w:family w:val="auto"/>
    <w:pitch w:val="variable"/>
    <w:sig w:usb0="00002000"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Yagut">
    <w:altName w:val="Courier New"/>
    <w:charset w:val="B2"/>
    <w:family w:val="auto"/>
    <w:pitch w:val="variable"/>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raditional Arabic">
    <w:panose1 w:val="02010000000000000000"/>
    <w:charset w:val="00"/>
    <w:family w:val="auto"/>
    <w:pitch w:val="variable"/>
    <w:sig w:usb0="00002003" w:usb1="80000000" w:usb2="00000008" w:usb3="00000000" w:csb0="00000041" w:csb1="00000000"/>
  </w:font>
  <w:font w:name="Futura Md BT">
    <w:altName w:val="Lucida Sans Unicode"/>
    <w:charset w:val="00"/>
    <w:family w:val="swiss"/>
    <w:pitch w:val="variable"/>
    <w:sig w:usb0="00000087" w:usb1="00000000" w:usb2="00000000" w:usb3="00000000" w:csb0="0000001B" w:csb1="00000000"/>
  </w:font>
  <w:font w:name="PKDMK D+ Macmillan">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Default="00005DFB" w:rsidP="006468A9">
    <w:pPr>
      <w:pStyle w:val="Header"/>
      <w:bidi w:val="0"/>
      <w:rPr>
        <w:b/>
      </w:rPr>
    </w:pPr>
    <w:r>
      <w:rPr>
        <w:rStyle w:val="PageNumber"/>
        <w:b/>
      </w:rPr>
      <w:fldChar w:fldCharType="begin"/>
    </w:r>
    <w:r w:rsidR="00A27741">
      <w:rPr>
        <w:rStyle w:val="PageNumber"/>
        <w:b/>
      </w:rPr>
      <w:instrText xml:space="preserve"> PAGE </w:instrText>
    </w:r>
    <w:r>
      <w:rPr>
        <w:rStyle w:val="PageNumber"/>
        <w:b/>
      </w:rPr>
      <w:fldChar w:fldCharType="separate"/>
    </w:r>
    <w:r w:rsidR="00A640D9">
      <w:rPr>
        <w:rStyle w:val="PageNumber"/>
        <w:b/>
        <w:noProof/>
      </w:rPr>
      <w:t>328</w:t>
    </w:r>
    <w:r>
      <w:rPr>
        <w:rStyle w:val="PageNumber"/>
        <w:b/>
      </w:rPr>
      <w:fldChar w:fldCharType="end"/>
    </w:r>
    <w:r w:rsidR="00A27741">
      <w:tab/>
      <w:t>JRMS/ March 2011; Vol 16, No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Default="00A27741" w:rsidP="006468A9">
    <w:pPr>
      <w:pStyle w:val="Footer"/>
      <w:bidi w:val="0"/>
      <w:rPr>
        <w:b/>
      </w:rPr>
    </w:pPr>
    <w:r>
      <w:t>JRMS/ March 2011; Vol 16, No 3</w:t>
    </w:r>
    <w:r>
      <w:tab/>
    </w:r>
    <w:r w:rsidR="00005DFB">
      <w:rPr>
        <w:rStyle w:val="PageNumber"/>
        <w:b/>
        <w:bCs/>
      </w:rPr>
      <w:fldChar w:fldCharType="begin"/>
    </w:r>
    <w:r>
      <w:rPr>
        <w:rStyle w:val="PageNumber"/>
        <w:b/>
        <w:bCs/>
      </w:rPr>
      <w:instrText xml:space="preserve"> PAGE </w:instrText>
    </w:r>
    <w:r w:rsidR="00005DFB">
      <w:rPr>
        <w:rStyle w:val="PageNumber"/>
        <w:b/>
        <w:bCs/>
      </w:rPr>
      <w:fldChar w:fldCharType="separate"/>
    </w:r>
    <w:r w:rsidR="00B31435">
      <w:rPr>
        <w:rStyle w:val="PageNumber"/>
        <w:b/>
        <w:bCs/>
        <w:noProof/>
      </w:rPr>
      <w:t>325</w:t>
    </w:r>
    <w:r w:rsidR="00005DFB">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Default="00A27741" w:rsidP="00385D44">
    <w:pPr>
      <w:pStyle w:val="foot"/>
      <w:rPr>
        <w:color w:val="000000"/>
        <w:lang w:bidi="fa-IR"/>
      </w:rPr>
    </w:pPr>
  </w:p>
  <w:p w:rsidR="00A27741" w:rsidRPr="009A3635" w:rsidRDefault="00005DFB" w:rsidP="00385D44">
    <w:pPr>
      <w:pStyle w:val="foot"/>
      <w:rPr>
        <w:color w:val="000000"/>
        <w:sz w:val="10"/>
        <w:szCs w:val="12"/>
        <w:lang w:bidi="fa-IR"/>
      </w:rPr>
    </w:pPr>
    <w:r>
      <w:rPr>
        <w:noProof/>
        <w:color w:val="000000"/>
        <w:sz w:val="10"/>
        <w:szCs w:val="12"/>
      </w:rPr>
      <w:pict>
        <v:line id="_x0000_s2049" style="position:absolute;left:0;text-align:left;z-index:251657728" from=".5pt,.7pt" to="480.05pt,.7pt">
          <w10:wrap anchorx="page"/>
        </v:line>
      </w:pict>
    </w:r>
  </w:p>
  <w:p w:rsidR="00A27741" w:rsidRPr="001A3302" w:rsidRDefault="00A27741" w:rsidP="00A640D9">
    <w:pPr>
      <w:pStyle w:val="foot"/>
      <w:rPr>
        <w:szCs w:val="16"/>
      </w:rPr>
    </w:pPr>
    <w:r w:rsidRPr="001A3302">
      <w:rPr>
        <w:szCs w:val="16"/>
        <w:vertAlign w:val="superscript"/>
      </w:rPr>
      <w:t>a</w:t>
    </w:r>
    <w:r w:rsidRPr="001A3302">
      <w:rPr>
        <w:szCs w:val="16"/>
      </w:rPr>
      <w:t xml:space="preserve"> </w:t>
    </w:r>
    <w:r w:rsidR="00A640D9" w:rsidRPr="00364BCC">
      <w:rPr>
        <w:szCs w:val="16"/>
      </w:rPr>
      <w:t xml:space="preserve">Associate </w:t>
    </w:r>
    <w:r w:rsidRPr="00AA7F37">
      <w:rPr>
        <w:szCs w:val="16"/>
      </w:rPr>
      <w:t>Professor of Anesthesiology, School of Medicine</w:t>
    </w:r>
    <w:r w:rsidR="00885024">
      <w:rPr>
        <w:szCs w:val="16"/>
      </w:rPr>
      <w:t xml:space="preserve"> and A</w:t>
    </w:r>
    <w:r w:rsidR="00885024" w:rsidRPr="00885024">
      <w:rPr>
        <w:szCs w:val="16"/>
      </w:rPr>
      <w:t xml:space="preserve">nesthesiaology and </w:t>
    </w:r>
    <w:r w:rsidR="00885024">
      <w:rPr>
        <w:szCs w:val="16"/>
      </w:rPr>
      <w:t>C</w:t>
    </w:r>
    <w:r w:rsidR="00885024" w:rsidRPr="00885024">
      <w:rPr>
        <w:szCs w:val="16"/>
      </w:rPr>
      <w:t xml:space="preserve">ritical </w:t>
    </w:r>
    <w:r w:rsidR="00885024">
      <w:rPr>
        <w:szCs w:val="16"/>
      </w:rPr>
      <w:t>Care R</w:t>
    </w:r>
    <w:r w:rsidR="00885024" w:rsidRPr="00885024">
      <w:rPr>
        <w:szCs w:val="16"/>
      </w:rPr>
      <w:t xml:space="preserve">esearch </w:t>
    </w:r>
    <w:r w:rsidR="00885024">
      <w:rPr>
        <w:szCs w:val="16"/>
      </w:rPr>
      <w:t>C</w:t>
    </w:r>
    <w:r w:rsidR="00885024" w:rsidRPr="00885024">
      <w:rPr>
        <w:szCs w:val="16"/>
      </w:rPr>
      <w:t>enter</w:t>
    </w:r>
    <w:r w:rsidR="00885024">
      <w:rPr>
        <w:szCs w:val="16"/>
      </w:rPr>
      <w:t>,</w:t>
    </w:r>
    <w:r w:rsidRPr="00AA7F37">
      <w:rPr>
        <w:szCs w:val="16"/>
      </w:rPr>
      <w:t xml:space="preserve"> Isfahan Univers</w:t>
    </w:r>
    <w:r w:rsidRPr="00AA7F37">
      <w:rPr>
        <w:szCs w:val="16"/>
      </w:rPr>
      <w:t>i</w:t>
    </w:r>
    <w:r w:rsidRPr="00AA7F37">
      <w:rPr>
        <w:szCs w:val="16"/>
      </w:rPr>
      <w:t>ty of Medical Sciences, Isfahan, Iran.</w:t>
    </w:r>
  </w:p>
  <w:p w:rsidR="00A27741" w:rsidRPr="001A3302" w:rsidRDefault="00A27741" w:rsidP="00885024">
    <w:pPr>
      <w:pStyle w:val="foot"/>
      <w:rPr>
        <w:szCs w:val="16"/>
      </w:rPr>
    </w:pPr>
    <w:r w:rsidRPr="001A3302">
      <w:rPr>
        <w:szCs w:val="16"/>
        <w:vertAlign w:val="superscript"/>
      </w:rPr>
      <w:t>b</w:t>
    </w:r>
    <w:r w:rsidRPr="001A3302">
      <w:rPr>
        <w:szCs w:val="16"/>
      </w:rPr>
      <w:t xml:space="preserve"> </w:t>
    </w:r>
    <w:r w:rsidRPr="00364BCC">
      <w:rPr>
        <w:szCs w:val="16"/>
      </w:rPr>
      <w:t>Professor of Anesthesiology, School of Medicine</w:t>
    </w:r>
    <w:r w:rsidR="00885024">
      <w:rPr>
        <w:szCs w:val="16"/>
      </w:rPr>
      <w:t xml:space="preserve"> and A</w:t>
    </w:r>
    <w:r w:rsidR="00885024" w:rsidRPr="00885024">
      <w:rPr>
        <w:szCs w:val="16"/>
      </w:rPr>
      <w:t xml:space="preserve">nesthesiaology and </w:t>
    </w:r>
    <w:r w:rsidR="00885024">
      <w:rPr>
        <w:szCs w:val="16"/>
      </w:rPr>
      <w:t>C</w:t>
    </w:r>
    <w:r w:rsidR="00885024" w:rsidRPr="00885024">
      <w:rPr>
        <w:szCs w:val="16"/>
      </w:rPr>
      <w:t xml:space="preserve">ritical </w:t>
    </w:r>
    <w:r w:rsidR="00885024">
      <w:rPr>
        <w:szCs w:val="16"/>
      </w:rPr>
      <w:t>Care R</w:t>
    </w:r>
    <w:r w:rsidR="00885024" w:rsidRPr="00885024">
      <w:rPr>
        <w:szCs w:val="16"/>
      </w:rPr>
      <w:t xml:space="preserve">esearch </w:t>
    </w:r>
    <w:r w:rsidR="00885024">
      <w:rPr>
        <w:szCs w:val="16"/>
      </w:rPr>
      <w:t>C</w:t>
    </w:r>
    <w:r w:rsidR="00885024" w:rsidRPr="00885024">
      <w:rPr>
        <w:szCs w:val="16"/>
      </w:rPr>
      <w:t>enter</w:t>
    </w:r>
    <w:r w:rsidR="00885024">
      <w:rPr>
        <w:szCs w:val="16"/>
      </w:rPr>
      <w:t>,</w:t>
    </w:r>
    <w:r w:rsidRPr="00364BCC">
      <w:rPr>
        <w:szCs w:val="16"/>
      </w:rPr>
      <w:t xml:space="preserve"> Isfahan University of Med</w:t>
    </w:r>
    <w:r w:rsidRPr="00364BCC">
      <w:rPr>
        <w:szCs w:val="16"/>
      </w:rPr>
      <w:t>i</w:t>
    </w:r>
    <w:r w:rsidRPr="00364BCC">
      <w:rPr>
        <w:szCs w:val="16"/>
      </w:rPr>
      <w:t>cal Sciences, Isfahan, Iran.</w:t>
    </w:r>
  </w:p>
  <w:p w:rsidR="00A27741" w:rsidRDefault="00A27741" w:rsidP="00A640D9">
    <w:pPr>
      <w:pStyle w:val="foot"/>
      <w:rPr>
        <w:szCs w:val="16"/>
        <w:lang w:val="en-GB"/>
      </w:rPr>
    </w:pPr>
    <w:r w:rsidRPr="001A3302">
      <w:rPr>
        <w:szCs w:val="16"/>
        <w:vertAlign w:val="superscript"/>
      </w:rPr>
      <w:t>c</w:t>
    </w:r>
    <w:r w:rsidRPr="001A3302">
      <w:rPr>
        <w:szCs w:val="16"/>
      </w:rPr>
      <w:t xml:space="preserve"> </w:t>
    </w:r>
    <w:r w:rsidRPr="007D3405">
      <w:rPr>
        <w:szCs w:val="16"/>
      </w:rPr>
      <w:t>Assistant Professor of Epidemiology and Biostatistics, School of Health, Isfahan University of Medical Sciences, Isfahan, Iran.</w:t>
    </w:r>
  </w:p>
  <w:p w:rsidR="00A27741" w:rsidRPr="00322F1E" w:rsidRDefault="00A27741" w:rsidP="001A3302">
    <w:pPr>
      <w:pStyle w:val="foot"/>
      <w:rPr>
        <w:szCs w:val="16"/>
      </w:rPr>
    </w:pPr>
    <w:r w:rsidRPr="00322F1E">
      <w:rPr>
        <w:b/>
        <w:bCs/>
        <w:szCs w:val="16"/>
      </w:rPr>
      <w:t>*</w:t>
    </w:r>
    <w:r w:rsidRPr="00322F1E">
      <w:rPr>
        <w:szCs w:val="16"/>
      </w:rPr>
      <w:t xml:space="preserve"> Corresponding Author</w:t>
    </w:r>
  </w:p>
  <w:p w:rsidR="00A27741" w:rsidRPr="00516220" w:rsidRDefault="00A27741" w:rsidP="003D6738">
    <w:pPr>
      <w:pStyle w:val="foot"/>
      <w:rPr>
        <w:color w:val="000000"/>
      </w:rPr>
    </w:pPr>
    <w:r w:rsidRPr="00322F1E">
      <w:t>E-</w:t>
    </w:r>
    <w:r w:rsidRPr="00516220">
      <w:rPr>
        <w:color w:val="000000"/>
      </w:rPr>
      <w:t xml:space="preserve">mail: </w:t>
    </w:r>
    <w:r w:rsidR="003D6738" w:rsidRPr="003D6738">
      <w:rPr>
        <w:color w:val="000000"/>
      </w:rPr>
      <w:t>talakoub</w:t>
    </w:r>
    <w:r w:rsidRPr="007D3405">
      <w:rPr>
        <w:color w:val="000000"/>
      </w:rPr>
      <w:t>@med.mui.ac.ir</w:t>
    </w:r>
  </w:p>
  <w:p w:rsidR="00A27741" w:rsidRPr="00B93FFB" w:rsidRDefault="00A27741" w:rsidP="00F7514E">
    <w:pPr>
      <w:pStyle w:val="foot"/>
    </w:pPr>
  </w:p>
  <w:p w:rsidR="00A27741" w:rsidRPr="00D6636F" w:rsidRDefault="00A27741" w:rsidP="006468A9">
    <w:pPr>
      <w:pStyle w:val="Footer"/>
      <w:bidi w:val="0"/>
      <w:jc w:val="lowKashida"/>
      <w:rPr>
        <w:b/>
        <w:bCs/>
      </w:rPr>
    </w:pPr>
    <w:r>
      <w:t>JRMS/ March 2011; Vol 16, No 3.</w:t>
    </w:r>
    <w:r>
      <w:rPr>
        <w:b/>
      </w:rPr>
      <w:t xml:space="preserve"> </w:t>
    </w:r>
    <w:r>
      <w:rPr>
        <w:b/>
      </w:rPr>
      <w:tab/>
    </w:r>
    <w:r w:rsidR="00005DFB" w:rsidRPr="003377E9">
      <w:rPr>
        <w:rStyle w:val="PageNumber"/>
        <w:b/>
        <w:bCs/>
      </w:rPr>
      <w:fldChar w:fldCharType="begin"/>
    </w:r>
    <w:r w:rsidRPr="003377E9">
      <w:rPr>
        <w:rStyle w:val="PageNumber"/>
        <w:b/>
        <w:bCs/>
      </w:rPr>
      <w:instrText xml:space="preserve"> PAGE </w:instrText>
    </w:r>
    <w:r w:rsidR="00005DFB" w:rsidRPr="003377E9">
      <w:rPr>
        <w:rStyle w:val="PageNumber"/>
        <w:b/>
        <w:bCs/>
      </w:rPr>
      <w:fldChar w:fldCharType="separate"/>
    </w:r>
    <w:r w:rsidR="00A640D9">
      <w:rPr>
        <w:rStyle w:val="PageNumber"/>
        <w:b/>
        <w:bCs/>
        <w:noProof/>
      </w:rPr>
      <w:t>323</w:t>
    </w:r>
    <w:r w:rsidR="00005DFB" w:rsidRPr="003377E9">
      <w:rPr>
        <w:rStyle w:val="PageNumbe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435" w:rsidRDefault="00B31435" w:rsidP="006468A9">
    <w:pPr>
      <w:pStyle w:val="Footer"/>
      <w:bidi w:val="0"/>
      <w:rPr>
        <w:b/>
      </w:rPr>
    </w:pPr>
    <w:r>
      <w:t>JRMS/ March 2011; Vol 16, No 3</w:t>
    </w:r>
    <w:r>
      <w:tab/>
    </w:r>
    <w:r w:rsidR="00005DFB">
      <w:rPr>
        <w:rStyle w:val="PageNumber"/>
        <w:b/>
        <w:bCs/>
      </w:rPr>
      <w:fldChar w:fldCharType="begin"/>
    </w:r>
    <w:r>
      <w:rPr>
        <w:rStyle w:val="PageNumber"/>
        <w:b/>
        <w:bCs/>
      </w:rPr>
      <w:instrText xml:space="preserve"> PAGE </w:instrText>
    </w:r>
    <w:r w:rsidR="00005DFB">
      <w:rPr>
        <w:rStyle w:val="PageNumber"/>
        <w:b/>
        <w:bCs/>
      </w:rPr>
      <w:fldChar w:fldCharType="separate"/>
    </w:r>
    <w:r w:rsidR="00A640D9">
      <w:rPr>
        <w:rStyle w:val="PageNumber"/>
        <w:b/>
        <w:bCs/>
        <w:noProof/>
      </w:rPr>
      <w:t>329</w:t>
    </w:r>
    <w:r w:rsidR="00005DFB">
      <w:rPr>
        <w:rStyle w:val="PageNumber"/>
        <w:b/>
        <w:b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Pr="00D6636F" w:rsidRDefault="00005DFB" w:rsidP="006468A9">
    <w:pPr>
      <w:pStyle w:val="Footer"/>
      <w:bidi w:val="0"/>
      <w:jc w:val="lowKashida"/>
      <w:rPr>
        <w:b/>
        <w:bCs/>
      </w:rPr>
    </w:pPr>
    <w:r w:rsidRPr="003377E9">
      <w:rPr>
        <w:rStyle w:val="PageNumber"/>
        <w:b/>
        <w:bCs/>
      </w:rPr>
      <w:fldChar w:fldCharType="begin"/>
    </w:r>
    <w:r w:rsidR="00A27741" w:rsidRPr="003377E9">
      <w:rPr>
        <w:rStyle w:val="PageNumber"/>
        <w:b/>
        <w:bCs/>
      </w:rPr>
      <w:instrText xml:space="preserve"> PAGE </w:instrText>
    </w:r>
    <w:r w:rsidRPr="003377E9">
      <w:rPr>
        <w:rStyle w:val="PageNumber"/>
        <w:b/>
        <w:bCs/>
      </w:rPr>
      <w:fldChar w:fldCharType="separate"/>
    </w:r>
    <w:r w:rsidR="00A640D9">
      <w:rPr>
        <w:rStyle w:val="PageNumber"/>
        <w:b/>
        <w:bCs/>
        <w:noProof/>
      </w:rPr>
      <w:t>326</w:t>
    </w:r>
    <w:r w:rsidRPr="003377E9">
      <w:rPr>
        <w:rStyle w:val="PageNumber"/>
        <w:b/>
        <w:bCs/>
      </w:rPr>
      <w:fldChar w:fldCharType="end"/>
    </w:r>
    <w:r w:rsidR="00A27741">
      <w:tab/>
      <w:t>JRMS/ March 2011; Vol 16, No 3.</w:t>
    </w:r>
    <w:r w:rsidR="00A27741">
      <w:rPr>
        <w:b/>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Pr="00D6636F" w:rsidRDefault="00005DFB" w:rsidP="006468A9">
    <w:pPr>
      <w:pStyle w:val="Footer"/>
      <w:bidi w:val="0"/>
      <w:jc w:val="lowKashida"/>
      <w:rPr>
        <w:b/>
        <w:bCs/>
      </w:rPr>
    </w:pPr>
    <w:r w:rsidRPr="003377E9">
      <w:rPr>
        <w:rStyle w:val="PageNumber"/>
        <w:b/>
        <w:bCs/>
      </w:rPr>
      <w:fldChar w:fldCharType="begin"/>
    </w:r>
    <w:r w:rsidR="00A27741" w:rsidRPr="003377E9">
      <w:rPr>
        <w:rStyle w:val="PageNumber"/>
        <w:b/>
        <w:bCs/>
      </w:rPr>
      <w:instrText xml:space="preserve"> PAGE </w:instrText>
    </w:r>
    <w:r w:rsidRPr="003377E9">
      <w:rPr>
        <w:rStyle w:val="PageNumber"/>
        <w:b/>
        <w:bCs/>
      </w:rPr>
      <w:fldChar w:fldCharType="separate"/>
    </w:r>
    <w:r w:rsidR="00FE4214">
      <w:rPr>
        <w:rStyle w:val="PageNumber"/>
        <w:b/>
        <w:bCs/>
        <w:noProof/>
      </w:rPr>
      <w:t>239</w:t>
    </w:r>
    <w:r w:rsidRPr="003377E9">
      <w:rPr>
        <w:rStyle w:val="PageNumber"/>
        <w:b/>
        <w:bCs/>
      </w:rPr>
      <w:fldChar w:fldCharType="end"/>
    </w:r>
    <w:r w:rsidR="00A27741">
      <w:tab/>
      <w:t>JRMS/ March 2011; Vol 16, No 3.</w:t>
    </w:r>
    <w:r w:rsidR="00A27741">
      <w:rPr>
        <w:b/>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Default="00005DFB" w:rsidP="006468A9">
    <w:pPr>
      <w:pStyle w:val="Header"/>
      <w:bidi w:val="0"/>
      <w:rPr>
        <w:b/>
      </w:rPr>
    </w:pPr>
    <w:r>
      <w:rPr>
        <w:rStyle w:val="PageNumber"/>
        <w:b/>
      </w:rPr>
      <w:fldChar w:fldCharType="begin"/>
    </w:r>
    <w:r w:rsidR="00A27741">
      <w:rPr>
        <w:rStyle w:val="PageNumber"/>
        <w:b/>
      </w:rPr>
      <w:instrText xml:space="preserve"> PAGE </w:instrText>
    </w:r>
    <w:r>
      <w:rPr>
        <w:rStyle w:val="PageNumber"/>
        <w:b/>
      </w:rPr>
      <w:fldChar w:fldCharType="separate"/>
    </w:r>
    <w:r w:rsidR="00A640D9">
      <w:rPr>
        <w:rStyle w:val="PageNumber"/>
        <w:b/>
        <w:noProof/>
      </w:rPr>
      <w:t>330</w:t>
    </w:r>
    <w:r>
      <w:rPr>
        <w:rStyle w:val="PageNumber"/>
        <w:b/>
      </w:rPr>
      <w:fldChar w:fldCharType="end"/>
    </w:r>
    <w:r w:rsidR="00A27741">
      <w:tab/>
      <w:t>JRMS/ March 2011; Vol 16, No 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Pr="000738B8" w:rsidRDefault="00A27741" w:rsidP="006C1630">
    <w:pPr>
      <w:pStyle w:val="Header"/>
      <w:bidi w:val="0"/>
      <w:rPr>
        <w:b/>
        <w:bCs/>
        <w:rtl/>
        <w:lang w:bidi="fa-IR"/>
      </w:rPr>
    </w:pPr>
    <w:r w:rsidRPr="006C1630">
      <w:t>JRMS/  X 2011; Vol 16, No X.</w:t>
    </w:r>
    <w:r>
      <w:tab/>
    </w:r>
    <w:r w:rsidR="00005DFB" w:rsidRPr="000738B8">
      <w:rPr>
        <w:rStyle w:val="PageNumber"/>
        <w:b/>
        <w:bCs/>
      </w:rPr>
      <w:fldChar w:fldCharType="begin"/>
    </w:r>
    <w:r w:rsidRPr="000738B8">
      <w:rPr>
        <w:rStyle w:val="PageNumber"/>
        <w:b/>
        <w:bCs/>
      </w:rPr>
      <w:instrText xml:space="preserve"> PAGE </w:instrText>
    </w:r>
    <w:r w:rsidR="00005DFB" w:rsidRPr="000738B8">
      <w:rPr>
        <w:rStyle w:val="PageNumber"/>
        <w:b/>
        <w:bCs/>
      </w:rPr>
      <w:fldChar w:fldCharType="separate"/>
    </w:r>
    <w:r w:rsidR="002D77A0">
      <w:rPr>
        <w:rStyle w:val="PageNumber"/>
        <w:b/>
        <w:bCs/>
        <w:noProof/>
      </w:rPr>
      <w:t>331</w:t>
    </w:r>
    <w:r w:rsidR="00005DFB" w:rsidRPr="000738B8">
      <w:rPr>
        <w:rStyle w:val="PageNumbe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B7" w:rsidRDefault="004C7DB7">
      <w:pPr>
        <w:jc w:val="right"/>
      </w:pPr>
      <w:r>
        <w:separator/>
      </w:r>
    </w:p>
  </w:footnote>
  <w:footnote w:type="continuationSeparator" w:id="0">
    <w:p w:rsidR="004C7DB7" w:rsidRDefault="004C7DB7">
      <w:pPr>
        <w:jc w:val="righ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Default="00A27741" w:rsidP="00AC1518">
    <w:pPr>
      <w:pStyle w:val="Header"/>
      <w:bidi w:val="0"/>
    </w:pPr>
    <w:r w:rsidRPr="00FA7660">
      <w:rPr>
        <w:lang w:val="en-GB"/>
      </w:rPr>
      <w:t>Comparison of GEE and QIF</w:t>
    </w:r>
    <w:r w:rsidRPr="00FA7660">
      <w:tab/>
    </w:r>
    <w:r w:rsidR="00AC1518" w:rsidRPr="00AC1518">
      <w:rPr>
        <w:bCs/>
      </w:rPr>
      <w:t xml:space="preserve">Saied Morteza Heidari </w:t>
    </w:r>
    <w:r w:rsidRPr="00FA7660">
      <w:t>et al</w:t>
    </w:r>
  </w:p>
  <w:p w:rsidR="00A27741" w:rsidRDefault="00A27741">
    <w:pPr>
      <w:pStyle w:val="Header"/>
      <w:bidi w:val="0"/>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Pr="006C1630" w:rsidRDefault="00A27741" w:rsidP="00AC1518">
    <w:pPr>
      <w:pStyle w:val="Header"/>
      <w:bidi w:val="0"/>
    </w:pPr>
    <w:r w:rsidRPr="00FA7660">
      <w:rPr>
        <w:lang w:val="en-GB"/>
      </w:rPr>
      <w:t>Comparison of GEE and QIF</w:t>
    </w:r>
    <w:r w:rsidRPr="00FA7660">
      <w:tab/>
    </w:r>
    <w:r w:rsidR="00AC1518" w:rsidRPr="00AC1518">
      <w:rPr>
        <w:bCs/>
      </w:rPr>
      <w:t>Saied Morteza Heidari</w:t>
    </w:r>
    <w:r w:rsidRPr="00FA7660">
      <w:t xml:space="preserve"> et al</w:t>
    </w:r>
  </w:p>
  <w:p w:rsidR="00A27741" w:rsidRPr="006C1630" w:rsidRDefault="00A27741" w:rsidP="006C1630">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518" w:rsidRPr="00B31435" w:rsidRDefault="00B31435" w:rsidP="00B31435">
    <w:pPr>
      <w:pStyle w:val="Header"/>
      <w:bidi w:val="0"/>
      <w:rPr>
        <w:rFonts w:cs="Tahoma"/>
        <w:b/>
        <w:bCs/>
        <w:lang w:bidi="fa-IR"/>
      </w:rPr>
    </w:pPr>
    <w:r w:rsidRPr="00B31435">
      <w:rPr>
        <w:rFonts w:cs="Tahoma"/>
        <w:b/>
        <w:bCs/>
        <w:lang w:bidi="fa-IR"/>
      </w:rPr>
      <w:t xml:space="preserve">Received: </w:t>
    </w:r>
    <w:r>
      <w:rPr>
        <w:rFonts w:cs="Tahoma"/>
        <w:b/>
        <w:bCs/>
        <w:lang w:bidi="fa-IR"/>
      </w:rPr>
      <w:t>17</w:t>
    </w:r>
    <w:r w:rsidRPr="00B31435">
      <w:rPr>
        <w:rFonts w:cs="Tahoma"/>
        <w:b/>
        <w:bCs/>
        <w:lang w:bidi="fa-IR"/>
      </w:rPr>
      <w:t>.1</w:t>
    </w:r>
    <w:r>
      <w:rPr>
        <w:rFonts w:cs="Tahoma"/>
        <w:b/>
        <w:bCs/>
        <w:lang w:bidi="fa-IR"/>
      </w:rPr>
      <w:t>0</w:t>
    </w:r>
    <w:r w:rsidRPr="00B31435">
      <w:rPr>
        <w:rFonts w:cs="Tahoma"/>
        <w:b/>
        <w:bCs/>
        <w:lang w:bidi="fa-IR"/>
      </w:rPr>
      <w:t>.201</w:t>
    </w:r>
    <w:r>
      <w:rPr>
        <w:rFonts w:cs="Tahoma"/>
        <w:b/>
        <w:bCs/>
        <w:lang w:bidi="fa-IR"/>
      </w:rPr>
      <w:t>0</w:t>
    </w:r>
    <w:r w:rsidRPr="00B31435">
      <w:rPr>
        <w:rFonts w:cs="Tahoma"/>
        <w:b/>
        <w:bCs/>
        <w:lang w:bidi="fa-IR"/>
      </w:rPr>
      <w:tab/>
      <w:t xml:space="preserve">Accepted: </w:t>
    </w:r>
    <w:r>
      <w:rPr>
        <w:rFonts w:cs="Tahoma"/>
        <w:b/>
        <w:bCs/>
        <w:lang w:bidi="fa-IR"/>
      </w:rPr>
      <w:t>13</w:t>
    </w:r>
    <w:r w:rsidRPr="00B31435">
      <w:rPr>
        <w:rFonts w:cs="Tahoma"/>
        <w:b/>
        <w:bCs/>
        <w:lang w:bidi="fa-IR"/>
      </w:rPr>
      <w:t>.3.2011</w:t>
    </w:r>
  </w:p>
  <w:p w:rsidR="00A27741" w:rsidRDefault="00A27741" w:rsidP="00AC1518">
    <w:pPr>
      <w:pStyle w:val="Header"/>
      <w:bidi w:val="0"/>
      <w:rPr>
        <w:rFonts w:cs="Tahoma"/>
        <w:b/>
        <w:bCs/>
        <w:lang w:bidi="fa-I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435" w:rsidRPr="006C1630" w:rsidRDefault="00B31435" w:rsidP="00AC1518">
    <w:pPr>
      <w:pStyle w:val="Header"/>
      <w:bidi w:val="0"/>
    </w:pPr>
    <w:r w:rsidRPr="00FA7660">
      <w:rPr>
        <w:lang w:val="en-GB"/>
      </w:rPr>
      <w:t>Comparison of GEE and QIF</w:t>
    </w:r>
    <w:r w:rsidRPr="00FA7660">
      <w:tab/>
    </w:r>
    <w:r w:rsidRPr="00AC1518">
      <w:rPr>
        <w:bCs/>
      </w:rPr>
      <w:t>Saied Morteza Heidari</w:t>
    </w:r>
    <w:r w:rsidRPr="00FA7660">
      <w:t xml:space="preserve"> et al</w:t>
    </w:r>
  </w:p>
  <w:p w:rsidR="00B31435" w:rsidRPr="006C1630" w:rsidRDefault="00B31435" w:rsidP="006C1630">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41" w:rsidRPr="006C1630" w:rsidRDefault="00A27741" w:rsidP="006C1630">
    <w:pPr>
      <w:pStyle w:val="Header"/>
      <w:bidi w:val="0"/>
    </w:pPr>
    <w:r w:rsidRPr="006C1630">
      <w:t>Celiac disease and type I diabetes</w:t>
    </w:r>
    <w:r w:rsidRPr="006C1630">
      <w:tab/>
    </w:r>
    <w:r w:rsidRPr="006C1630">
      <w:rPr>
        <w:bCs/>
      </w:rPr>
      <w:t>Bashiri</w:t>
    </w:r>
    <w:r w:rsidRPr="006C1630">
      <w:t xml:space="preserve"> et al</w:t>
    </w:r>
  </w:p>
  <w:p w:rsidR="00A27741" w:rsidRDefault="00A27741" w:rsidP="00FA7829">
    <w:pPr>
      <w:pStyle w:val="Header"/>
      <w:bidi w:val="0"/>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2B15E24"/>
    <w:multiLevelType w:val="hybridMultilevel"/>
    <w:tmpl w:val="A710B6E0"/>
    <w:lvl w:ilvl="0" w:tplc="5262DE00">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607E26"/>
    <w:multiLevelType w:val="hybridMultilevel"/>
    <w:tmpl w:val="C3DE955A"/>
    <w:lvl w:ilvl="0" w:tplc="429810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B3411"/>
    <w:multiLevelType w:val="hybridMultilevel"/>
    <w:tmpl w:val="63B807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BB25F2"/>
    <w:multiLevelType w:val="hybridMultilevel"/>
    <w:tmpl w:val="2D489834"/>
    <w:lvl w:ilvl="0" w:tplc="50D8FE9E">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1BF82597"/>
    <w:multiLevelType w:val="hybridMultilevel"/>
    <w:tmpl w:val="B896C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5E763A"/>
    <w:multiLevelType w:val="hybridMultilevel"/>
    <w:tmpl w:val="AFD62BFA"/>
    <w:lvl w:ilvl="0" w:tplc="5262DE00">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D9562C"/>
    <w:multiLevelType w:val="hybridMultilevel"/>
    <w:tmpl w:val="9A949E5E"/>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4C17EE"/>
    <w:multiLevelType w:val="hybridMultilevel"/>
    <w:tmpl w:val="79B80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EF5A5C"/>
    <w:multiLevelType w:val="hybridMultilevel"/>
    <w:tmpl w:val="D4D6C29A"/>
    <w:lvl w:ilvl="0" w:tplc="15943892">
      <w:start w:val="1"/>
      <w:numFmt w:val="decimal"/>
      <w:lvlText w:val="%1."/>
      <w:lvlJc w:val="left"/>
      <w:pPr>
        <w:ind w:left="927" w:hanging="360"/>
      </w:pPr>
      <w:rPr>
        <w:rFonts w:hint="default"/>
        <w:b w:val="0"/>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nsid w:val="2D346240"/>
    <w:multiLevelType w:val="hybridMultilevel"/>
    <w:tmpl w:val="6976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672A9"/>
    <w:multiLevelType w:val="hybridMultilevel"/>
    <w:tmpl w:val="282CA416"/>
    <w:lvl w:ilvl="0" w:tplc="5262DE00">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A917EC"/>
    <w:multiLevelType w:val="hybridMultilevel"/>
    <w:tmpl w:val="DDBE3E1E"/>
    <w:lvl w:ilvl="0" w:tplc="4F140A1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BD0F94"/>
    <w:multiLevelType w:val="hybridMultilevel"/>
    <w:tmpl w:val="C304E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9B68E6"/>
    <w:multiLevelType w:val="hybridMultilevel"/>
    <w:tmpl w:val="6CA80AAA"/>
    <w:lvl w:ilvl="0" w:tplc="7A80E338">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4482292"/>
    <w:multiLevelType w:val="multilevel"/>
    <w:tmpl w:val="DA4EA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45A54AA"/>
    <w:multiLevelType w:val="multilevel"/>
    <w:tmpl w:val="C304EE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3895972"/>
    <w:multiLevelType w:val="hybridMultilevel"/>
    <w:tmpl w:val="E9DE6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955FF8"/>
    <w:multiLevelType w:val="hybridMultilevel"/>
    <w:tmpl w:val="014E84D4"/>
    <w:lvl w:ilvl="0" w:tplc="53660AA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1826C9"/>
    <w:multiLevelType w:val="hybridMultilevel"/>
    <w:tmpl w:val="066236E2"/>
    <w:lvl w:ilvl="0" w:tplc="4960773E">
      <w:start w:val="1"/>
      <w:numFmt w:val="decimal"/>
      <w:pStyle w:val="ref"/>
      <w:lvlText w:val="%1."/>
      <w:lvlJc w:val="left"/>
      <w:pPr>
        <w:tabs>
          <w:tab w:val="num" w:pos="284"/>
        </w:tabs>
        <w:ind w:left="284" w:hanging="284"/>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725B6228"/>
    <w:multiLevelType w:val="multilevel"/>
    <w:tmpl w:val="DDBE3E1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C34396D"/>
    <w:multiLevelType w:val="hybridMultilevel"/>
    <w:tmpl w:val="98D218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827425"/>
    <w:multiLevelType w:val="hybridMultilevel"/>
    <w:tmpl w:val="1C4011F8"/>
    <w:lvl w:ilvl="0" w:tplc="5BB46D70">
      <w:start w:val="1"/>
      <w:numFmt w:val="decimal"/>
      <w:lvlText w:val="%1."/>
      <w:lvlJc w:val="left"/>
      <w:pPr>
        <w:tabs>
          <w:tab w:val="num" w:pos="284"/>
        </w:tabs>
        <w:ind w:left="284" w:hanging="284"/>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DE42B2"/>
    <w:multiLevelType w:val="hybridMultilevel"/>
    <w:tmpl w:val="70F61E94"/>
    <w:lvl w:ilvl="0" w:tplc="02421B44">
      <w:start w:val="1"/>
      <w:numFmt w:val="decimal"/>
      <w:lvlText w:val="%1."/>
      <w:lvlJc w:val="left"/>
      <w:pPr>
        <w:tabs>
          <w:tab w:val="num" w:pos="360"/>
        </w:tabs>
        <w:ind w:left="360" w:hanging="360"/>
      </w:pPr>
      <w:rPr>
        <w:rFonts w:hint="default"/>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21"/>
  </w:num>
  <w:num w:numId="4">
    <w:abstractNumId w:val="24"/>
  </w:num>
  <w:num w:numId="5">
    <w:abstractNumId w:val="17"/>
  </w:num>
  <w:num w:numId="6">
    <w:abstractNumId w:val="10"/>
  </w:num>
  <w:num w:numId="7">
    <w:abstractNumId w:val="15"/>
  </w:num>
  <w:num w:numId="8">
    <w:abstractNumId w:val="18"/>
  </w:num>
  <w:num w:numId="9">
    <w:abstractNumId w:val="14"/>
  </w:num>
  <w:num w:numId="10">
    <w:abstractNumId w:val="22"/>
  </w:num>
  <w:num w:numId="11">
    <w:abstractNumId w:val="20"/>
  </w:num>
  <w:num w:numId="12">
    <w:abstractNumId w:val="4"/>
  </w:num>
  <w:num w:numId="13">
    <w:abstractNumId w:val="7"/>
  </w:num>
  <w:num w:numId="14">
    <w:abstractNumId w:val="23"/>
  </w:num>
  <w:num w:numId="15">
    <w:abstractNumId w:val="5"/>
  </w:num>
  <w:num w:numId="16">
    <w:abstractNumId w:val="19"/>
  </w:num>
  <w:num w:numId="17">
    <w:abstractNumId w:val="11"/>
  </w:num>
  <w:num w:numId="18">
    <w:abstractNumId w:val="16"/>
  </w:num>
  <w:num w:numId="19">
    <w:abstractNumId w:val="2"/>
  </w:num>
  <w:num w:numId="20">
    <w:abstractNumId w:val="1"/>
  </w:num>
  <w:num w:numId="21">
    <w:abstractNumId w:val="25"/>
  </w:num>
  <w:num w:numId="22">
    <w:abstractNumId w:val="9"/>
  </w:num>
  <w:num w:numId="23">
    <w:abstractNumId w:val="8"/>
  </w:num>
  <w:num w:numId="24">
    <w:abstractNumId w:val="3"/>
  </w:num>
  <w:num w:numId="25">
    <w:abstractNumId w:val="1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TT" w:vendorID="64" w:dllVersion="131078" w:nlCheck="1" w:checkStyle="1"/>
  <w:activeWritingStyle w:appName="MSWord" w:lang="en-AU" w:vendorID="64" w:dllVersion="131078" w:nlCheck="1" w:checkStyle="1"/>
  <w:activeWritingStyle w:appName="MSWord" w:lang="es-ES_tradnl" w:vendorID="64" w:dllVersion="131078" w:nlCheck="1" w:checkStyle="1"/>
  <w:stylePaneFormatFilter w:val="3F01"/>
  <w:defaultTabStop w:val="0"/>
  <w:autoHyphenation/>
  <w:hyphenationZone w:val="357"/>
  <w:evenAndOddHeaders/>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FB324F"/>
    <w:rsid w:val="00000101"/>
    <w:rsid w:val="00000605"/>
    <w:rsid w:val="0000076B"/>
    <w:rsid w:val="00001725"/>
    <w:rsid w:val="00001C2C"/>
    <w:rsid w:val="0000334D"/>
    <w:rsid w:val="000040FB"/>
    <w:rsid w:val="00004602"/>
    <w:rsid w:val="00005DFB"/>
    <w:rsid w:val="00007588"/>
    <w:rsid w:val="00011888"/>
    <w:rsid w:val="00017CD2"/>
    <w:rsid w:val="00017E56"/>
    <w:rsid w:val="00023846"/>
    <w:rsid w:val="00026E61"/>
    <w:rsid w:val="0002716A"/>
    <w:rsid w:val="0003392D"/>
    <w:rsid w:val="000370EF"/>
    <w:rsid w:val="00040EEE"/>
    <w:rsid w:val="00041811"/>
    <w:rsid w:val="00041F9A"/>
    <w:rsid w:val="00044849"/>
    <w:rsid w:val="00054FF7"/>
    <w:rsid w:val="00056835"/>
    <w:rsid w:val="0005731C"/>
    <w:rsid w:val="0006110A"/>
    <w:rsid w:val="00061438"/>
    <w:rsid w:val="00062E0F"/>
    <w:rsid w:val="00062EE0"/>
    <w:rsid w:val="000636F3"/>
    <w:rsid w:val="000639A2"/>
    <w:rsid w:val="00063BA6"/>
    <w:rsid w:val="000714F8"/>
    <w:rsid w:val="00071CC9"/>
    <w:rsid w:val="000738B8"/>
    <w:rsid w:val="00077080"/>
    <w:rsid w:val="000806B9"/>
    <w:rsid w:val="00081444"/>
    <w:rsid w:val="00082543"/>
    <w:rsid w:val="00085B5A"/>
    <w:rsid w:val="0008641C"/>
    <w:rsid w:val="0008661F"/>
    <w:rsid w:val="00087D85"/>
    <w:rsid w:val="00091549"/>
    <w:rsid w:val="00094B2F"/>
    <w:rsid w:val="000964B5"/>
    <w:rsid w:val="000A4F25"/>
    <w:rsid w:val="000A5200"/>
    <w:rsid w:val="000A60DB"/>
    <w:rsid w:val="000A6608"/>
    <w:rsid w:val="000B1707"/>
    <w:rsid w:val="000B21FF"/>
    <w:rsid w:val="000B2305"/>
    <w:rsid w:val="000B24AB"/>
    <w:rsid w:val="000B2E2F"/>
    <w:rsid w:val="000B40FB"/>
    <w:rsid w:val="000B4584"/>
    <w:rsid w:val="000B607F"/>
    <w:rsid w:val="000C107F"/>
    <w:rsid w:val="000C208D"/>
    <w:rsid w:val="000C216E"/>
    <w:rsid w:val="000C2D46"/>
    <w:rsid w:val="000C564F"/>
    <w:rsid w:val="000C742E"/>
    <w:rsid w:val="000D0993"/>
    <w:rsid w:val="000D1DE6"/>
    <w:rsid w:val="000E627C"/>
    <w:rsid w:val="000F0ECC"/>
    <w:rsid w:val="000F14E5"/>
    <w:rsid w:val="000F345F"/>
    <w:rsid w:val="000F442E"/>
    <w:rsid w:val="001037E2"/>
    <w:rsid w:val="00104604"/>
    <w:rsid w:val="00106AF0"/>
    <w:rsid w:val="00111672"/>
    <w:rsid w:val="00112966"/>
    <w:rsid w:val="0011407F"/>
    <w:rsid w:val="001143D1"/>
    <w:rsid w:val="00117D8D"/>
    <w:rsid w:val="00122200"/>
    <w:rsid w:val="0012276E"/>
    <w:rsid w:val="001236EA"/>
    <w:rsid w:val="00124AEA"/>
    <w:rsid w:val="00125465"/>
    <w:rsid w:val="00125C98"/>
    <w:rsid w:val="001278B5"/>
    <w:rsid w:val="00133E50"/>
    <w:rsid w:val="00134154"/>
    <w:rsid w:val="00134371"/>
    <w:rsid w:val="001346BC"/>
    <w:rsid w:val="00136893"/>
    <w:rsid w:val="00137D22"/>
    <w:rsid w:val="001417E1"/>
    <w:rsid w:val="00143393"/>
    <w:rsid w:val="0014361F"/>
    <w:rsid w:val="001448F2"/>
    <w:rsid w:val="00144BC5"/>
    <w:rsid w:val="00151976"/>
    <w:rsid w:val="00151F40"/>
    <w:rsid w:val="00152893"/>
    <w:rsid w:val="00153447"/>
    <w:rsid w:val="00157541"/>
    <w:rsid w:val="0017204B"/>
    <w:rsid w:val="00173E14"/>
    <w:rsid w:val="00175C62"/>
    <w:rsid w:val="00181A7E"/>
    <w:rsid w:val="00182006"/>
    <w:rsid w:val="0018388C"/>
    <w:rsid w:val="0019163B"/>
    <w:rsid w:val="001933CA"/>
    <w:rsid w:val="00196319"/>
    <w:rsid w:val="001973FB"/>
    <w:rsid w:val="001A3302"/>
    <w:rsid w:val="001A79D4"/>
    <w:rsid w:val="001B0419"/>
    <w:rsid w:val="001B11A6"/>
    <w:rsid w:val="001B1D8E"/>
    <w:rsid w:val="001B58FC"/>
    <w:rsid w:val="001B5AA5"/>
    <w:rsid w:val="001B6CB1"/>
    <w:rsid w:val="001C585B"/>
    <w:rsid w:val="001C6B65"/>
    <w:rsid w:val="001C6CEB"/>
    <w:rsid w:val="001D152E"/>
    <w:rsid w:val="001D162C"/>
    <w:rsid w:val="001D3C45"/>
    <w:rsid w:val="001D43D7"/>
    <w:rsid w:val="001D5509"/>
    <w:rsid w:val="001D6938"/>
    <w:rsid w:val="001D6DAD"/>
    <w:rsid w:val="001E5F79"/>
    <w:rsid w:val="001F1977"/>
    <w:rsid w:val="001F3AD6"/>
    <w:rsid w:val="001F4635"/>
    <w:rsid w:val="001F647B"/>
    <w:rsid w:val="00200D93"/>
    <w:rsid w:val="00201CDE"/>
    <w:rsid w:val="002026BD"/>
    <w:rsid w:val="002068BD"/>
    <w:rsid w:val="00214286"/>
    <w:rsid w:val="00217510"/>
    <w:rsid w:val="00217532"/>
    <w:rsid w:val="0022115B"/>
    <w:rsid w:val="00224F94"/>
    <w:rsid w:val="00226594"/>
    <w:rsid w:val="00226746"/>
    <w:rsid w:val="00227293"/>
    <w:rsid w:val="00231A39"/>
    <w:rsid w:val="00232162"/>
    <w:rsid w:val="00232DDE"/>
    <w:rsid w:val="002331C0"/>
    <w:rsid w:val="00235416"/>
    <w:rsid w:val="002427DB"/>
    <w:rsid w:val="00245246"/>
    <w:rsid w:val="002478A8"/>
    <w:rsid w:val="00250B95"/>
    <w:rsid w:val="0025224B"/>
    <w:rsid w:val="0025380F"/>
    <w:rsid w:val="00255240"/>
    <w:rsid w:val="00260809"/>
    <w:rsid w:val="00261D01"/>
    <w:rsid w:val="002624A4"/>
    <w:rsid w:val="002636FD"/>
    <w:rsid w:val="0026375D"/>
    <w:rsid w:val="00266B3B"/>
    <w:rsid w:val="002670F5"/>
    <w:rsid w:val="0027041E"/>
    <w:rsid w:val="00271343"/>
    <w:rsid w:val="002738F1"/>
    <w:rsid w:val="00275467"/>
    <w:rsid w:val="002762C7"/>
    <w:rsid w:val="00277561"/>
    <w:rsid w:val="00281EA7"/>
    <w:rsid w:val="00282161"/>
    <w:rsid w:val="002940B3"/>
    <w:rsid w:val="0029512A"/>
    <w:rsid w:val="00297962"/>
    <w:rsid w:val="002A12C8"/>
    <w:rsid w:val="002A403E"/>
    <w:rsid w:val="002A6BA6"/>
    <w:rsid w:val="002B6C00"/>
    <w:rsid w:val="002C0D84"/>
    <w:rsid w:val="002C1626"/>
    <w:rsid w:val="002C7065"/>
    <w:rsid w:val="002C7CD4"/>
    <w:rsid w:val="002C7D69"/>
    <w:rsid w:val="002D042C"/>
    <w:rsid w:val="002D26EE"/>
    <w:rsid w:val="002D2C29"/>
    <w:rsid w:val="002D2C57"/>
    <w:rsid w:val="002D4098"/>
    <w:rsid w:val="002D77A0"/>
    <w:rsid w:val="002E5ECC"/>
    <w:rsid w:val="002F1CAE"/>
    <w:rsid w:val="002F33D6"/>
    <w:rsid w:val="0030197C"/>
    <w:rsid w:val="003023A2"/>
    <w:rsid w:val="00303904"/>
    <w:rsid w:val="00304F2C"/>
    <w:rsid w:val="00305B83"/>
    <w:rsid w:val="003070F5"/>
    <w:rsid w:val="00310D3E"/>
    <w:rsid w:val="0031390E"/>
    <w:rsid w:val="00313F56"/>
    <w:rsid w:val="003150D0"/>
    <w:rsid w:val="00316CB9"/>
    <w:rsid w:val="00317CD6"/>
    <w:rsid w:val="00321537"/>
    <w:rsid w:val="003227CF"/>
    <w:rsid w:val="00322F1E"/>
    <w:rsid w:val="00327429"/>
    <w:rsid w:val="0033183D"/>
    <w:rsid w:val="003318B9"/>
    <w:rsid w:val="00331FB6"/>
    <w:rsid w:val="00332DFB"/>
    <w:rsid w:val="003372B2"/>
    <w:rsid w:val="003377E9"/>
    <w:rsid w:val="00340A55"/>
    <w:rsid w:val="00342B57"/>
    <w:rsid w:val="00345032"/>
    <w:rsid w:val="00345ADF"/>
    <w:rsid w:val="00347461"/>
    <w:rsid w:val="003475FA"/>
    <w:rsid w:val="00347848"/>
    <w:rsid w:val="00351E95"/>
    <w:rsid w:val="00356A4D"/>
    <w:rsid w:val="0035795E"/>
    <w:rsid w:val="003608DF"/>
    <w:rsid w:val="00364BCC"/>
    <w:rsid w:val="00365E5F"/>
    <w:rsid w:val="003678F5"/>
    <w:rsid w:val="00373AAF"/>
    <w:rsid w:val="003750B5"/>
    <w:rsid w:val="003754FB"/>
    <w:rsid w:val="00382806"/>
    <w:rsid w:val="003831FD"/>
    <w:rsid w:val="00385D44"/>
    <w:rsid w:val="00385FEE"/>
    <w:rsid w:val="00391BCC"/>
    <w:rsid w:val="003944A4"/>
    <w:rsid w:val="00397BC4"/>
    <w:rsid w:val="003A23E3"/>
    <w:rsid w:val="003A5987"/>
    <w:rsid w:val="003A607A"/>
    <w:rsid w:val="003B1C65"/>
    <w:rsid w:val="003B2677"/>
    <w:rsid w:val="003B2687"/>
    <w:rsid w:val="003B3180"/>
    <w:rsid w:val="003B4306"/>
    <w:rsid w:val="003C03BD"/>
    <w:rsid w:val="003C2823"/>
    <w:rsid w:val="003C46A9"/>
    <w:rsid w:val="003C5DBA"/>
    <w:rsid w:val="003C768E"/>
    <w:rsid w:val="003D2453"/>
    <w:rsid w:val="003D540E"/>
    <w:rsid w:val="003D6738"/>
    <w:rsid w:val="003E2E6C"/>
    <w:rsid w:val="003E305B"/>
    <w:rsid w:val="003F352C"/>
    <w:rsid w:val="003F4241"/>
    <w:rsid w:val="00407523"/>
    <w:rsid w:val="0041146F"/>
    <w:rsid w:val="0041155D"/>
    <w:rsid w:val="00417287"/>
    <w:rsid w:val="0042093D"/>
    <w:rsid w:val="00420999"/>
    <w:rsid w:val="00421299"/>
    <w:rsid w:val="0042226E"/>
    <w:rsid w:val="00425F9D"/>
    <w:rsid w:val="00426AD9"/>
    <w:rsid w:val="00426EBF"/>
    <w:rsid w:val="004313B4"/>
    <w:rsid w:val="00435181"/>
    <w:rsid w:val="0043664C"/>
    <w:rsid w:val="004466D6"/>
    <w:rsid w:val="00446A3F"/>
    <w:rsid w:val="00451A45"/>
    <w:rsid w:val="00452BD7"/>
    <w:rsid w:val="0045422F"/>
    <w:rsid w:val="00454E59"/>
    <w:rsid w:val="00456734"/>
    <w:rsid w:val="00463A8D"/>
    <w:rsid w:val="004704EA"/>
    <w:rsid w:val="004711A4"/>
    <w:rsid w:val="004727B4"/>
    <w:rsid w:val="00473E28"/>
    <w:rsid w:val="0047658D"/>
    <w:rsid w:val="004822A2"/>
    <w:rsid w:val="00482307"/>
    <w:rsid w:val="00493EB7"/>
    <w:rsid w:val="00496D56"/>
    <w:rsid w:val="0049727F"/>
    <w:rsid w:val="004A7220"/>
    <w:rsid w:val="004B4735"/>
    <w:rsid w:val="004C008C"/>
    <w:rsid w:val="004C217F"/>
    <w:rsid w:val="004C63FD"/>
    <w:rsid w:val="004C7DB7"/>
    <w:rsid w:val="004D2A05"/>
    <w:rsid w:val="004D3A09"/>
    <w:rsid w:val="004E1CED"/>
    <w:rsid w:val="004E5886"/>
    <w:rsid w:val="004E5F30"/>
    <w:rsid w:val="004F2CC3"/>
    <w:rsid w:val="004F6EAF"/>
    <w:rsid w:val="004F76D6"/>
    <w:rsid w:val="0050106D"/>
    <w:rsid w:val="00502EC9"/>
    <w:rsid w:val="005040F3"/>
    <w:rsid w:val="00507476"/>
    <w:rsid w:val="005144A2"/>
    <w:rsid w:val="00516048"/>
    <w:rsid w:val="00516220"/>
    <w:rsid w:val="0052368B"/>
    <w:rsid w:val="005269AD"/>
    <w:rsid w:val="00532018"/>
    <w:rsid w:val="005348B3"/>
    <w:rsid w:val="00537BE4"/>
    <w:rsid w:val="005436D1"/>
    <w:rsid w:val="005513A2"/>
    <w:rsid w:val="00553D51"/>
    <w:rsid w:val="0055656F"/>
    <w:rsid w:val="00557ACC"/>
    <w:rsid w:val="00562534"/>
    <w:rsid w:val="00562917"/>
    <w:rsid w:val="00566DBF"/>
    <w:rsid w:val="00571CC1"/>
    <w:rsid w:val="00577F07"/>
    <w:rsid w:val="0058037F"/>
    <w:rsid w:val="005878F7"/>
    <w:rsid w:val="00590598"/>
    <w:rsid w:val="0059163B"/>
    <w:rsid w:val="00595911"/>
    <w:rsid w:val="00595EEF"/>
    <w:rsid w:val="00597421"/>
    <w:rsid w:val="005A5A08"/>
    <w:rsid w:val="005B4C11"/>
    <w:rsid w:val="005B7ACC"/>
    <w:rsid w:val="005C1D88"/>
    <w:rsid w:val="005C2718"/>
    <w:rsid w:val="005C77F9"/>
    <w:rsid w:val="005C7D83"/>
    <w:rsid w:val="005D1206"/>
    <w:rsid w:val="005D163A"/>
    <w:rsid w:val="005D1C65"/>
    <w:rsid w:val="005D340E"/>
    <w:rsid w:val="005D68A9"/>
    <w:rsid w:val="005F1806"/>
    <w:rsid w:val="005F418D"/>
    <w:rsid w:val="005F5910"/>
    <w:rsid w:val="005F62A6"/>
    <w:rsid w:val="005F6F1E"/>
    <w:rsid w:val="006049AA"/>
    <w:rsid w:val="00606E4D"/>
    <w:rsid w:val="006075C3"/>
    <w:rsid w:val="00607698"/>
    <w:rsid w:val="0061636D"/>
    <w:rsid w:val="00621334"/>
    <w:rsid w:val="006217B9"/>
    <w:rsid w:val="006252CF"/>
    <w:rsid w:val="00627C12"/>
    <w:rsid w:val="00636E5E"/>
    <w:rsid w:val="00645673"/>
    <w:rsid w:val="00645F9C"/>
    <w:rsid w:val="006468A9"/>
    <w:rsid w:val="00650B25"/>
    <w:rsid w:val="006613A5"/>
    <w:rsid w:val="0066241F"/>
    <w:rsid w:val="006653D5"/>
    <w:rsid w:val="006704B2"/>
    <w:rsid w:val="0067055F"/>
    <w:rsid w:val="00680C86"/>
    <w:rsid w:val="0068572D"/>
    <w:rsid w:val="0068582B"/>
    <w:rsid w:val="00685DA2"/>
    <w:rsid w:val="0068625E"/>
    <w:rsid w:val="00686B2D"/>
    <w:rsid w:val="006918CF"/>
    <w:rsid w:val="006919E7"/>
    <w:rsid w:val="00692822"/>
    <w:rsid w:val="00695ADD"/>
    <w:rsid w:val="006A1E3F"/>
    <w:rsid w:val="006A3953"/>
    <w:rsid w:val="006A525F"/>
    <w:rsid w:val="006B157F"/>
    <w:rsid w:val="006B250F"/>
    <w:rsid w:val="006B4EF0"/>
    <w:rsid w:val="006B759A"/>
    <w:rsid w:val="006C0209"/>
    <w:rsid w:val="006C06FD"/>
    <w:rsid w:val="006C1630"/>
    <w:rsid w:val="006C28AB"/>
    <w:rsid w:val="006C342F"/>
    <w:rsid w:val="006C492C"/>
    <w:rsid w:val="006D1C5B"/>
    <w:rsid w:val="006D2586"/>
    <w:rsid w:val="006D3BAB"/>
    <w:rsid w:val="006D479C"/>
    <w:rsid w:val="006D5DBB"/>
    <w:rsid w:val="006E1148"/>
    <w:rsid w:val="006E34F9"/>
    <w:rsid w:val="006E3BC5"/>
    <w:rsid w:val="006E3F0F"/>
    <w:rsid w:val="006E4A60"/>
    <w:rsid w:val="006E4F85"/>
    <w:rsid w:val="006E69CF"/>
    <w:rsid w:val="006F7983"/>
    <w:rsid w:val="0070646F"/>
    <w:rsid w:val="00706CC3"/>
    <w:rsid w:val="0071075E"/>
    <w:rsid w:val="0071096D"/>
    <w:rsid w:val="00720054"/>
    <w:rsid w:val="00720913"/>
    <w:rsid w:val="007304A1"/>
    <w:rsid w:val="007314F3"/>
    <w:rsid w:val="007328F6"/>
    <w:rsid w:val="007334AE"/>
    <w:rsid w:val="00734F20"/>
    <w:rsid w:val="00747106"/>
    <w:rsid w:val="00747A9E"/>
    <w:rsid w:val="00751A6C"/>
    <w:rsid w:val="0075324B"/>
    <w:rsid w:val="007534C8"/>
    <w:rsid w:val="00753593"/>
    <w:rsid w:val="00755FF8"/>
    <w:rsid w:val="00757A4C"/>
    <w:rsid w:val="0076069A"/>
    <w:rsid w:val="007653C9"/>
    <w:rsid w:val="0076720C"/>
    <w:rsid w:val="00770E76"/>
    <w:rsid w:val="0077258E"/>
    <w:rsid w:val="00780448"/>
    <w:rsid w:val="0078436F"/>
    <w:rsid w:val="007914EB"/>
    <w:rsid w:val="007914F8"/>
    <w:rsid w:val="007916D5"/>
    <w:rsid w:val="0079270A"/>
    <w:rsid w:val="0079362E"/>
    <w:rsid w:val="00794D33"/>
    <w:rsid w:val="00796CA5"/>
    <w:rsid w:val="007A32C4"/>
    <w:rsid w:val="007A39A6"/>
    <w:rsid w:val="007A582F"/>
    <w:rsid w:val="007A7724"/>
    <w:rsid w:val="007B229C"/>
    <w:rsid w:val="007B469B"/>
    <w:rsid w:val="007B63E5"/>
    <w:rsid w:val="007B7F58"/>
    <w:rsid w:val="007C0A3C"/>
    <w:rsid w:val="007C277A"/>
    <w:rsid w:val="007C280D"/>
    <w:rsid w:val="007C2896"/>
    <w:rsid w:val="007C2EE6"/>
    <w:rsid w:val="007D2E25"/>
    <w:rsid w:val="007D3405"/>
    <w:rsid w:val="007D5285"/>
    <w:rsid w:val="007E0D20"/>
    <w:rsid w:val="007E222D"/>
    <w:rsid w:val="007E728C"/>
    <w:rsid w:val="007F000E"/>
    <w:rsid w:val="007F2A9D"/>
    <w:rsid w:val="007F415C"/>
    <w:rsid w:val="007F7191"/>
    <w:rsid w:val="007F7C33"/>
    <w:rsid w:val="00810AD8"/>
    <w:rsid w:val="008132F9"/>
    <w:rsid w:val="00814596"/>
    <w:rsid w:val="00820160"/>
    <w:rsid w:val="008275DA"/>
    <w:rsid w:val="00830A58"/>
    <w:rsid w:val="00831213"/>
    <w:rsid w:val="008350FA"/>
    <w:rsid w:val="008379AA"/>
    <w:rsid w:val="0085038A"/>
    <w:rsid w:val="00854273"/>
    <w:rsid w:val="00855BFA"/>
    <w:rsid w:val="008631F4"/>
    <w:rsid w:val="00864CDF"/>
    <w:rsid w:val="008655EC"/>
    <w:rsid w:val="00870E9A"/>
    <w:rsid w:val="0087184C"/>
    <w:rsid w:val="00873529"/>
    <w:rsid w:val="0087418B"/>
    <w:rsid w:val="00876063"/>
    <w:rsid w:val="00876B38"/>
    <w:rsid w:val="00880670"/>
    <w:rsid w:val="0088169C"/>
    <w:rsid w:val="00881D47"/>
    <w:rsid w:val="00884C53"/>
    <w:rsid w:val="00885024"/>
    <w:rsid w:val="00893B89"/>
    <w:rsid w:val="008941AE"/>
    <w:rsid w:val="00894CCC"/>
    <w:rsid w:val="00894F48"/>
    <w:rsid w:val="008968C5"/>
    <w:rsid w:val="008A23D8"/>
    <w:rsid w:val="008A2C32"/>
    <w:rsid w:val="008A4493"/>
    <w:rsid w:val="008A4C10"/>
    <w:rsid w:val="008A4E62"/>
    <w:rsid w:val="008A5CB1"/>
    <w:rsid w:val="008A5F85"/>
    <w:rsid w:val="008A6406"/>
    <w:rsid w:val="008A7163"/>
    <w:rsid w:val="008A7D42"/>
    <w:rsid w:val="008B6475"/>
    <w:rsid w:val="008C000B"/>
    <w:rsid w:val="008C069B"/>
    <w:rsid w:val="008C06DA"/>
    <w:rsid w:val="008C1C31"/>
    <w:rsid w:val="008C25CD"/>
    <w:rsid w:val="008C40A5"/>
    <w:rsid w:val="008C5CB7"/>
    <w:rsid w:val="008D17B1"/>
    <w:rsid w:val="008D274C"/>
    <w:rsid w:val="008D39A0"/>
    <w:rsid w:val="008D3DE9"/>
    <w:rsid w:val="008D5FAC"/>
    <w:rsid w:val="008D7F7B"/>
    <w:rsid w:val="008E0493"/>
    <w:rsid w:val="008E07D2"/>
    <w:rsid w:val="008E0869"/>
    <w:rsid w:val="008E3163"/>
    <w:rsid w:val="008F10DF"/>
    <w:rsid w:val="008F350B"/>
    <w:rsid w:val="008F3EF4"/>
    <w:rsid w:val="008F5AE1"/>
    <w:rsid w:val="008F5C6A"/>
    <w:rsid w:val="008F756B"/>
    <w:rsid w:val="008F7DB8"/>
    <w:rsid w:val="00902BB5"/>
    <w:rsid w:val="009040F3"/>
    <w:rsid w:val="00905C72"/>
    <w:rsid w:val="00906D76"/>
    <w:rsid w:val="009157B5"/>
    <w:rsid w:val="00915EC6"/>
    <w:rsid w:val="0091670C"/>
    <w:rsid w:val="00916B05"/>
    <w:rsid w:val="00921DE9"/>
    <w:rsid w:val="0092657C"/>
    <w:rsid w:val="00927A73"/>
    <w:rsid w:val="00942473"/>
    <w:rsid w:val="00947D52"/>
    <w:rsid w:val="00954581"/>
    <w:rsid w:val="00954D6D"/>
    <w:rsid w:val="00957979"/>
    <w:rsid w:val="00957DE3"/>
    <w:rsid w:val="00962340"/>
    <w:rsid w:val="009625AA"/>
    <w:rsid w:val="0096261F"/>
    <w:rsid w:val="0096644C"/>
    <w:rsid w:val="00966BC3"/>
    <w:rsid w:val="00974CE6"/>
    <w:rsid w:val="00976C60"/>
    <w:rsid w:val="00984587"/>
    <w:rsid w:val="00984E15"/>
    <w:rsid w:val="00984FD5"/>
    <w:rsid w:val="00985941"/>
    <w:rsid w:val="009861EC"/>
    <w:rsid w:val="0098706C"/>
    <w:rsid w:val="009906EC"/>
    <w:rsid w:val="009928F4"/>
    <w:rsid w:val="00994365"/>
    <w:rsid w:val="009977FA"/>
    <w:rsid w:val="009A1B79"/>
    <w:rsid w:val="009A1EE4"/>
    <w:rsid w:val="009A3635"/>
    <w:rsid w:val="009A4250"/>
    <w:rsid w:val="009A5465"/>
    <w:rsid w:val="009A7119"/>
    <w:rsid w:val="009A7637"/>
    <w:rsid w:val="009B1D41"/>
    <w:rsid w:val="009B1EA3"/>
    <w:rsid w:val="009B5560"/>
    <w:rsid w:val="009C0E7D"/>
    <w:rsid w:val="009C6497"/>
    <w:rsid w:val="009D4488"/>
    <w:rsid w:val="009D6024"/>
    <w:rsid w:val="009E155D"/>
    <w:rsid w:val="009E39EF"/>
    <w:rsid w:val="009E4C6C"/>
    <w:rsid w:val="009E62A2"/>
    <w:rsid w:val="009E6955"/>
    <w:rsid w:val="009F0160"/>
    <w:rsid w:val="009F5F71"/>
    <w:rsid w:val="009F60B3"/>
    <w:rsid w:val="009F7236"/>
    <w:rsid w:val="00A038E5"/>
    <w:rsid w:val="00A04476"/>
    <w:rsid w:val="00A05A8D"/>
    <w:rsid w:val="00A06087"/>
    <w:rsid w:val="00A067EF"/>
    <w:rsid w:val="00A07A0C"/>
    <w:rsid w:val="00A106C9"/>
    <w:rsid w:val="00A1236F"/>
    <w:rsid w:val="00A12AA3"/>
    <w:rsid w:val="00A12C6E"/>
    <w:rsid w:val="00A13E0A"/>
    <w:rsid w:val="00A2023B"/>
    <w:rsid w:val="00A243D7"/>
    <w:rsid w:val="00A27741"/>
    <w:rsid w:val="00A27CCE"/>
    <w:rsid w:val="00A303D1"/>
    <w:rsid w:val="00A412EB"/>
    <w:rsid w:val="00A43CF4"/>
    <w:rsid w:val="00A45A74"/>
    <w:rsid w:val="00A56553"/>
    <w:rsid w:val="00A567B2"/>
    <w:rsid w:val="00A6102D"/>
    <w:rsid w:val="00A62329"/>
    <w:rsid w:val="00A640D9"/>
    <w:rsid w:val="00A645FA"/>
    <w:rsid w:val="00A66F2C"/>
    <w:rsid w:val="00A67BD1"/>
    <w:rsid w:val="00A72CEB"/>
    <w:rsid w:val="00A771EE"/>
    <w:rsid w:val="00A81388"/>
    <w:rsid w:val="00A82AF3"/>
    <w:rsid w:val="00A83681"/>
    <w:rsid w:val="00A84D12"/>
    <w:rsid w:val="00A94C25"/>
    <w:rsid w:val="00AA1C32"/>
    <w:rsid w:val="00AA464B"/>
    <w:rsid w:val="00AA4B4A"/>
    <w:rsid w:val="00AA7F37"/>
    <w:rsid w:val="00AB0381"/>
    <w:rsid w:val="00AB17A8"/>
    <w:rsid w:val="00AB22D7"/>
    <w:rsid w:val="00AB34FC"/>
    <w:rsid w:val="00AB35E8"/>
    <w:rsid w:val="00AB3DAD"/>
    <w:rsid w:val="00AB630F"/>
    <w:rsid w:val="00AC1518"/>
    <w:rsid w:val="00AC3DE7"/>
    <w:rsid w:val="00AC5C2F"/>
    <w:rsid w:val="00AC7515"/>
    <w:rsid w:val="00AD3F66"/>
    <w:rsid w:val="00AD63C0"/>
    <w:rsid w:val="00AD6DF8"/>
    <w:rsid w:val="00AD7DBD"/>
    <w:rsid w:val="00AE16C2"/>
    <w:rsid w:val="00AE2F7A"/>
    <w:rsid w:val="00AE38A0"/>
    <w:rsid w:val="00AE5D5B"/>
    <w:rsid w:val="00AE6726"/>
    <w:rsid w:val="00AF36CC"/>
    <w:rsid w:val="00B04D31"/>
    <w:rsid w:val="00B10219"/>
    <w:rsid w:val="00B11418"/>
    <w:rsid w:val="00B12564"/>
    <w:rsid w:val="00B126AE"/>
    <w:rsid w:val="00B146EC"/>
    <w:rsid w:val="00B1642E"/>
    <w:rsid w:val="00B225B0"/>
    <w:rsid w:val="00B24AC7"/>
    <w:rsid w:val="00B27F08"/>
    <w:rsid w:val="00B312B8"/>
    <w:rsid w:val="00B31435"/>
    <w:rsid w:val="00B31B57"/>
    <w:rsid w:val="00B349A2"/>
    <w:rsid w:val="00B35CD9"/>
    <w:rsid w:val="00B37358"/>
    <w:rsid w:val="00B37E47"/>
    <w:rsid w:val="00B37F48"/>
    <w:rsid w:val="00B41F4A"/>
    <w:rsid w:val="00B423C7"/>
    <w:rsid w:val="00B458DB"/>
    <w:rsid w:val="00B463CE"/>
    <w:rsid w:val="00B506B7"/>
    <w:rsid w:val="00B6120E"/>
    <w:rsid w:val="00B64BBE"/>
    <w:rsid w:val="00B65789"/>
    <w:rsid w:val="00B70461"/>
    <w:rsid w:val="00B73920"/>
    <w:rsid w:val="00B76A03"/>
    <w:rsid w:val="00B82864"/>
    <w:rsid w:val="00B87A8B"/>
    <w:rsid w:val="00B91658"/>
    <w:rsid w:val="00B91873"/>
    <w:rsid w:val="00B93FFB"/>
    <w:rsid w:val="00B96D85"/>
    <w:rsid w:val="00BA1854"/>
    <w:rsid w:val="00BB22EE"/>
    <w:rsid w:val="00BB329F"/>
    <w:rsid w:val="00BB4487"/>
    <w:rsid w:val="00BB55AF"/>
    <w:rsid w:val="00BB7D5D"/>
    <w:rsid w:val="00BD0046"/>
    <w:rsid w:val="00BD5384"/>
    <w:rsid w:val="00BD54E6"/>
    <w:rsid w:val="00BD5B53"/>
    <w:rsid w:val="00BD5FC4"/>
    <w:rsid w:val="00BD667D"/>
    <w:rsid w:val="00BD7843"/>
    <w:rsid w:val="00BE0ECD"/>
    <w:rsid w:val="00BE29F5"/>
    <w:rsid w:val="00C00E9B"/>
    <w:rsid w:val="00C036EF"/>
    <w:rsid w:val="00C04685"/>
    <w:rsid w:val="00C07055"/>
    <w:rsid w:val="00C15167"/>
    <w:rsid w:val="00C16601"/>
    <w:rsid w:val="00C216B2"/>
    <w:rsid w:val="00C23C56"/>
    <w:rsid w:val="00C24FE8"/>
    <w:rsid w:val="00C2607C"/>
    <w:rsid w:val="00C3095D"/>
    <w:rsid w:val="00C3415C"/>
    <w:rsid w:val="00C3418F"/>
    <w:rsid w:val="00C37669"/>
    <w:rsid w:val="00C37AF3"/>
    <w:rsid w:val="00C37FA7"/>
    <w:rsid w:val="00C424C3"/>
    <w:rsid w:val="00C4554A"/>
    <w:rsid w:val="00C50292"/>
    <w:rsid w:val="00C507B7"/>
    <w:rsid w:val="00C50DB7"/>
    <w:rsid w:val="00C51955"/>
    <w:rsid w:val="00C52111"/>
    <w:rsid w:val="00C537F0"/>
    <w:rsid w:val="00C54C9C"/>
    <w:rsid w:val="00C5560C"/>
    <w:rsid w:val="00C6031C"/>
    <w:rsid w:val="00C6093C"/>
    <w:rsid w:val="00C74808"/>
    <w:rsid w:val="00C763A3"/>
    <w:rsid w:val="00C7664B"/>
    <w:rsid w:val="00C7713C"/>
    <w:rsid w:val="00C772DE"/>
    <w:rsid w:val="00C80EA4"/>
    <w:rsid w:val="00C86F55"/>
    <w:rsid w:val="00C87636"/>
    <w:rsid w:val="00C87724"/>
    <w:rsid w:val="00C91315"/>
    <w:rsid w:val="00C918E5"/>
    <w:rsid w:val="00CA095E"/>
    <w:rsid w:val="00CA42CB"/>
    <w:rsid w:val="00CA5999"/>
    <w:rsid w:val="00CA6667"/>
    <w:rsid w:val="00CB3113"/>
    <w:rsid w:val="00CB4A1A"/>
    <w:rsid w:val="00CB60A0"/>
    <w:rsid w:val="00CB626B"/>
    <w:rsid w:val="00CC0298"/>
    <w:rsid w:val="00CC1643"/>
    <w:rsid w:val="00CD1190"/>
    <w:rsid w:val="00CE0141"/>
    <w:rsid w:val="00CE0187"/>
    <w:rsid w:val="00CE43E6"/>
    <w:rsid w:val="00CE4CFA"/>
    <w:rsid w:val="00CE6DA9"/>
    <w:rsid w:val="00CF248D"/>
    <w:rsid w:val="00CF395C"/>
    <w:rsid w:val="00CF6262"/>
    <w:rsid w:val="00D00FB0"/>
    <w:rsid w:val="00D073A3"/>
    <w:rsid w:val="00D07EE1"/>
    <w:rsid w:val="00D109F7"/>
    <w:rsid w:val="00D10BA4"/>
    <w:rsid w:val="00D1167A"/>
    <w:rsid w:val="00D152AF"/>
    <w:rsid w:val="00D21525"/>
    <w:rsid w:val="00D30403"/>
    <w:rsid w:val="00D42E4A"/>
    <w:rsid w:val="00D431A6"/>
    <w:rsid w:val="00D4652A"/>
    <w:rsid w:val="00D50659"/>
    <w:rsid w:val="00D55073"/>
    <w:rsid w:val="00D55E7A"/>
    <w:rsid w:val="00D56E4F"/>
    <w:rsid w:val="00D579CC"/>
    <w:rsid w:val="00D60AB0"/>
    <w:rsid w:val="00D62C06"/>
    <w:rsid w:val="00D641E0"/>
    <w:rsid w:val="00D64DF2"/>
    <w:rsid w:val="00D6636F"/>
    <w:rsid w:val="00D6656E"/>
    <w:rsid w:val="00D66D11"/>
    <w:rsid w:val="00D66FAA"/>
    <w:rsid w:val="00D7012A"/>
    <w:rsid w:val="00D75239"/>
    <w:rsid w:val="00D762F5"/>
    <w:rsid w:val="00D767C9"/>
    <w:rsid w:val="00D77510"/>
    <w:rsid w:val="00D81151"/>
    <w:rsid w:val="00D9225A"/>
    <w:rsid w:val="00D94385"/>
    <w:rsid w:val="00DA2FD3"/>
    <w:rsid w:val="00DA3DB0"/>
    <w:rsid w:val="00DA5D3F"/>
    <w:rsid w:val="00DA5D71"/>
    <w:rsid w:val="00DB017E"/>
    <w:rsid w:val="00DB176F"/>
    <w:rsid w:val="00DB4679"/>
    <w:rsid w:val="00DB6B4F"/>
    <w:rsid w:val="00DC12DF"/>
    <w:rsid w:val="00DC69C4"/>
    <w:rsid w:val="00DD00BF"/>
    <w:rsid w:val="00DD1B69"/>
    <w:rsid w:val="00DD3354"/>
    <w:rsid w:val="00DD4537"/>
    <w:rsid w:val="00DD59D6"/>
    <w:rsid w:val="00DD5BF8"/>
    <w:rsid w:val="00DE0B19"/>
    <w:rsid w:val="00DE4DBC"/>
    <w:rsid w:val="00DF21D9"/>
    <w:rsid w:val="00DF2AB4"/>
    <w:rsid w:val="00DF2CF1"/>
    <w:rsid w:val="00DF3C75"/>
    <w:rsid w:val="00DF4CF0"/>
    <w:rsid w:val="00DF6DAA"/>
    <w:rsid w:val="00E02238"/>
    <w:rsid w:val="00E025FE"/>
    <w:rsid w:val="00E03293"/>
    <w:rsid w:val="00E142CA"/>
    <w:rsid w:val="00E207C2"/>
    <w:rsid w:val="00E32F9B"/>
    <w:rsid w:val="00E33107"/>
    <w:rsid w:val="00E342F1"/>
    <w:rsid w:val="00E366EE"/>
    <w:rsid w:val="00E36A6A"/>
    <w:rsid w:val="00E41851"/>
    <w:rsid w:val="00E469D5"/>
    <w:rsid w:val="00E5650E"/>
    <w:rsid w:val="00E572D0"/>
    <w:rsid w:val="00E61E62"/>
    <w:rsid w:val="00E62B0A"/>
    <w:rsid w:val="00E6329B"/>
    <w:rsid w:val="00E646F7"/>
    <w:rsid w:val="00E658FE"/>
    <w:rsid w:val="00E671E3"/>
    <w:rsid w:val="00E67616"/>
    <w:rsid w:val="00E70B22"/>
    <w:rsid w:val="00E810EA"/>
    <w:rsid w:val="00E82891"/>
    <w:rsid w:val="00E83696"/>
    <w:rsid w:val="00E848D0"/>
    <w:rsid w:val="00E85721"/>
    <w:rsid w:val="00E86751"/>
    <w:rsid w:val="00E901C3"/>
    <w:rsid w:val="00E91C5C"/>
    <w:rsid w:val="00E92305"/>
    <w:rsid w:val="00E96614"/>
    <w:rsid w:val="00E97607"/>
    <w:rsid w:val="00EA195E"/>
    <w:rsid w:val="00EA26A6"/>
    <w:rsid w:val="00EA27B2"/>
    <w:rsid w:val="00EA529F"/>
    <w:rsid w:val="00EA7814"/>
    <w:rsid w:val="00EB6D6E"/>
    <w:rsid w:val="00EB6E57"/>
    <w:rsid w:val="00EC0A55"/>
    <w:rsid w:val="00EC30BA"/>
    <w:rsid w:val="00EC331F"/>
    <w:rsid w:val="00EC3E8C"/>
    <w:rsid w:val="00EC4920"/>
    <w:rsid w:val="00EC5639"/>
    <w:rsid w:val="00EC57CB"/>
    <w:rsid w:val="00EC70A4"/>
    <w:rsid w:val="00ED160A"/>
    <w:rsid w:val="00ED2242"/>
    <w:rsid w:val="00ED38AB"/>
    <w:rsid w:val="00EE4AE1"/>
    <w:rsid w:val="00EE5F8C"/>
    <w:rsid w:val="00EF3B6C"/>
    <w:rsid w:val="00EF4C19"/>
    <w:rsid w:val="00F00BA5"/>
    <w:rsid w:val="00F00E8B"/>
    <w:rsid w:val="00F01199"/>
    <w:rsid w:val="00F049FA"/>
    <w:rsid w:val="00F13F57"/>
    <w:rsid w:val="00F207DD"/>
    <w:rsid w:val="00F2092C"/>
    <w:rsid w:val="00F21E98"/>
    <w:rsid w:val="00F22B84"/>
    <w:rsid w:val="00F23676"/>
    <w:rsid w:val="00F3163E"/>
    <w:rsid w:val="00F31879"/>
    <w:rsid w:val="00F32D20"/>
    <w:rsid w:val="00F404C2"/>
    <w:rsid w:val="00F40CBD"/>
    <w:rsid w:val="00F437C9"/>
    <w:rsid w:val="00F46931"/>
    <w:rsid w:val="00F52AA7"/>
    <w:rsid w:val="00F619A3"/>
    <w:rsid w:val="00F635BD"/>
    <w:rsid w:val="00F654AD"/>
    <w:rsid w:val="00F70B97"/>
    <w:rsid w:val="00F71217"/>
    <w:rsid w:val="00F74B77"/>
    <w:rsid w:val="00F7514E"/>
    <w:rsid w:val="00F76F11"/>
    <w:rsid w:val="00F81402"/>
    <w:rsid w:val="00F90259"/>
    <w:rsid w:val="00F926FF"/>
    <w:rsid w:val="00F9431E"/>
    <w:rsid w:val="00F97642"/>
    <w:rsid w:val="00FA1384"/>
    <w:rsid w:val="00FA55B6"/>
    <w:rsid w:val="00FA7660"/>
    <w:rsid w:val="00FA7829"/>
    <w:rsid w:val="00FB324F"/>
    <w:rsid w:val="00FB3A35"/>
    <w:rsid w:val="00FB4108"/>
    <w:rsid w:val="00FB6A9F"/>
    <w:rsid w:val="00FC2E42"/>
    <w:rsid w:val="00FD230D"/>
    <w:rsid w:val="00FD422D"/>
    <w:rsid w:val="00FD4783"/>
    <w:rsid w:val="00FD581D"/>
    <w:rsid w:val="00FD6462"/>
    <w:rsid w:val="00FD6DA5"/>
    <w:rsid w:val="00FD7D4E"/>
    <w:rsid w:val="00FE3D09"/>
    <w:rsid w:val="00FE4214"/>
    <w:rsid w:val="00FE6C34"/>
    <w:rsid w:val="00FE72E9"/>
    <w:rsid w:val="00FF3400"/>
    <w:rsid w:val="00FF5C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7E2"/>
    <w:pPr>
      <w:bidi/>
    </w:pPr>
    <w:rPr>
      <w:sz w:val="24"/>
      <w:szCs w:val="24"/>
    </w:rPr>
  </w:style>
  <w:style w:type="paragraph" w:styleId="Heading1">
    <w:name w:val="heading 1"/>
    <w:basedOn w:val="Normal"/>
    <w:next w:val="Normal"/>
    <w:qFormat/>
    <w:rsid w:val="001037E2"/>
    <w:pPr>
      <w:keepNext/>
      <w:bidi w:val="0"/>
      <w:spacing w:before="240" w:after="120"/>
      <w:jc w:val="center"/>
      <w:outlineLvl w:val="0"/>
    </w:pPr>
    <w:rPr>
      <w:rFonts w:cs="Zar"/>
      <w:b/>
      <w:bCs/>
      <w:sz w:val="28"/>
      <w:szCs w:val="32"/>
    </w:rPr>
  </w:style>
  <w:style w:type="paragraph" w:styleId="Heading2">
    <w:name w:val="heading 2"/>
    <w:basedOn w:val="Normal"/>
    <w:next w:val="Normal"/>
    <w:qFormat/>
    <w:rsid w:val="001037E2"/>
    <w:pPr>
      <w:keepNext/>
      <w:bidi w:val="0"/>
      <w:spacing w:before="120" w:after="120"/>
      <w:jc w:val="center"/>
      <w:outlineLvl w:val="1"/>
    </w:pPr>
    <w:rPr>
      <w:rFonts w:ascii="Arial" w:hAnsi="Arial" w:cs="Yagut"/>
      <w:bCs/>
      <w:i/>
      <w:sz w:val="26"/>
    </w:rPr>
  </w:style>
  <w:style w:type="paragraph" w:styleId="Heading3">
    <w:name w:val="heading 3"/>
    <w:basedOn w:val="Normal"/>
    <w:next w:val="Normal"/>
    <w:qFormat/>
    <w:rsid w:val="001037E2"/>
    <w:pPr>
      <w:keepNext/>
      <w:spacing w:before="240"/>
      <w:jc w:val="both"/>
      <w:outlineLvl w:val="2"/>
    </w:pPr>
    <w:rPr>
      <w:rFonts w:cs="Yagut"/>
      <w:b/>
      <w:bCs/>
      <w:sz w:val="26"/>
      <w:szCs w:val="26"/>
    </w:rPr>
  </w:style>
  <w:style w:type="paragraph" w:styleId="Heading4">
    <w:name w:val="heading 4"/>
    <w:basedOn w:val="Normal"/>
    <w:next w:val="Normal"/>
    <w:qFormat/>
    <w:rsid w:val="00001C2C"/>
    <w:pPr>
      <w:keepNext/>
      <w:spacing w:before="120"/>
      <w:outlineLvl w:val="3"/>
    </w:pPr>
    <w:rPr>
      <w:rFonts w:ascii="Book Antiqua" w:hAnsi="Book Antiqua"/>
      <w:b/>
      <w:bCs/>
      <w:i/>
      <w:sz w:val="22"/>
      <w:szCs w:val="28"/>
    </w:rPr>
  </w:style>
  <w:style w:type="paragraph" w:styleId="Heading5">
    <w:name w:val="heading 5"/>
    <w:basedOn w:val="Normal"/>
    <w:next w:val="Normal"/>
    <w:qFormat/>
    <w:rsid w:val="001037E2"/>
    <w:pPr>
      <w:spacing w:before="240" w:after="60"/>
      <w:outlineLvl w:val="4"/>
    </w:pPr>
    <w:rPr>
      <w:b/>
      <w:bCs/>
      <w:i/>
      <w:iCs/>
      <w:sz w:val="26"/>
      <w:szCs w:val="26"/>
    </w:rPr>
  </w:style>
  <w:style w:type="paragraph" w:styleId="Heading6">
    <w:name w:val="heading 6"/>
    <w:basedOn w:val="Normal"/>
    <w:next w:val="Normal"/>
    <w:qFormat/>
    <w:rsid w:val="001037E2"/>
    <w:pPr>
      <w:spacing w:before="240" w:after="60"/>
      <w:outlineLvl w:val="5"/>
    </w:pPr>
    <w:rPr>
      <w:b/>
      <w:bCs/>
      <w:sz w:val="22"/>
      <w:szCs w:val="22"/>
    </w:rPr>
  </w:style>
  <w:style w:type="paragraph" w:styleId="Heading7">
    <w:name w:val="heading 7"/>
    <w:basedOn w:val="Normal"/>
    <w:next w:val="Normal"/>
    <w:qFormat/>
    <w:rsid w:val="001037E2"/>
    <w:pPr>
      <w:spacing w:before="240" w:after="60"/>
      <w:outlineLvl w:val="6"/>
    </w:pPr>
  </w:style>
  <w:style w:type="paragraph" w:styleId="Heading8">
    <w:name w:val="heading 8"/>
    <w:basedOn w:val="Normal"/>
    <w:next w:val="Normal"/>
    <w:qFormat/>
    <w:rsid w:val="001037E2"/>
    <w:pPr>
      <w:widowControl w:val="0"/>
      <w:autoSpaceDE w:val="0"/>
      <w:autoSpaceDN w:val="0"/>
      <w:bidi w:val="0"/>
      <w:adjustRightInd w:val="0"/>
      <w:spacing w:before="240" w:after="60"/>
      <w:outlineLvl w:val="7"/>
    </w:pPr>
    <w:rPr>
      <w:rFonts w:eastAsia="SimSun"/>
      <w:i/>
      <w:iCs/>
      <w:lang w:eastAsia="zh-CN" w:bidi="fa-IR"/>
    </w:rPr>
  </w:style>
  <w:style w:type="paragraph" w:styleId="Heading9">
    <w:name w:val="heading 9"/>
    <w:basedOn w:val="Normal"/>
    <w:next w:val="Normal"/>
    <w:qFormat/>
    <w:rsid w:val="001037E2"/>
    <w:pPr>
      <w:keepNext/>
      <w:bidi w:val="0"/>
      <w:spacing w:line="480" w:lineRule="auto"/>
      <w:jc w:val="center"/>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41E0"/>
    <w:pPr>
      <w:tabs>
        <w:tab w:val="right" w:pos="9639"/>
      </w:tabs>
    </w:pPr>
    <w:rPr>
      <w:sz w:val="20"/>
    </w:rPr>
  </w:style>
  <w:style w:type="character" w:styleId="PageNumber">
    <w:name w:val="page number"/>
    <w:basedOn w:val="DefaultParagraphFont"/>
    <w:rsid w:val="001037E2"/>
  </w:style>
  <w:style w:type="paragraph" w:styleId="Header">
    <w:name w:val="header"/>
    <w:basedOn w:val="Normal"/>
    <w:link w:val="HeaderChar1"/>
    <w:rsid w:val="00D641E0"/>
    <w:pPr>
      <w:tabs>
        <w:tab w:val="right" w:pos="9639"/>
      </w:tabs>
      <w:jc w:val="both"/>
    </w:pPr>
    <w:rPr>
      <w:sz w:val="20"/>
    </w:rPr>
  </w:style>
  <w:style w:type="paragraph" w:styleId="BodyText">
    <w:name w:val="Body Text"/>
    <w:basedOn w:val="Normal"/>
    <w:link w:val="BodyTextChar1"/>
    <w:rsid w:val="001037E2"/>
    <w:pPr>
      <w:bidi w:val="0"/>
    </w:pPr>
    <w:rPr>
      <w:b/>
      <w:bCs/>
      <w:sz w:val="32"/>
      <w:szCs w:val="32"/>
    </w:rPr>
  </w:style>
  <w:style w:type="paragraph" w:styleId="BodyText2">
    <w:name w:val="Body Text 2"/>
    <w:basedOn w:val="Normal"/>
    <w:rsid w:val="001037E2"/>
    <w:pPr>
      <w:bidi w:val="0"/>
    </w:pPr>
    <w:rPr>
      <w:sz w:val="28"/>
      <w:szCs w:val="28"/>
    </w:rPr>
  </w:style>
  <w:style w:type="paragraph" w:styleId="BodyText3">
    <w:name w:val="Body Text 3"/>
    <w:basedOn w:val="Normal"/>
    <w:rsid w:val="001037E2"/>
    <w:pPr>
      <w:bidi w:val="0"/>
    </w:pPr>
    <w:rPr>
      <w:sz w:val="26"/>
      <w:szCs w:val="26"/>
    </w:rPr>
  </w:style>
  <w:style w:type="paragraph" w:styleId="BalloonText">
    <w:name w:val="Balloon Text"/>
    <w:basedOn w:val="Normal"/>
    <w:uiPriority w:val="99"/>
    <w:semiHidden/>
    <w:rsid w:val="001037E2"/>
    <w:rPr>
      <w:rFonts w:ascii="Tahoma" w:hAnsi="Tahoma" w:cs="Tahoma"/>
      <w:sz w:val="16"/>
      <w:szCs w:val="16"/>
    </w:rPr>
  </w:style>
  <w:style w:type="paragraph" w:customStyle="1" w:styleId="abst">
    <w:name w:val="abst"/>
    <w:basedOn w:val="BodyText"/>
    <w:link w:val="abstChar1"/>
    <w:rsid w:val="001037E2"/>
    <w:pPr>
      <w:spacing w:before="120"/>
      <w:jc w:val="both"/>
    </w:pPr>
    <w:rPr>
      <w:b w:val="0"/>
      <w:sz w:val="20"/>
      <w:szCs w:val="28"/>
    </w:rPr>
  </w:style>
  <w:style w:type="paragraph" w:customStyle="1" w:styleId="matn">
    <w:name w:val="matn"/>
    <w:basedOn w:val="abst"/>
    <w:link w:val="matnChar1"/>
    <w:rsid w:val="001037E2"/>
    <w:pPr>
      <w:tabs>
        <w:tab w:val="left" w:pos="284"/>
      </w:tabs>
      <w:spacing w:before="0"/>
    </w:pPr>
    <w:rPr>
      <w:rFonts w:ascii="Book Antiqua" w:hAnsi="Book Antiqua" w:cs="Zar"/>
      <w:bCs w:val="0"/>
      <w:sz w:val="22"/>
      <w:szCs w:val="26"/>
    </w:rPr>
  </w:style>
  <w:style w:type="paragraph" w:customStyle="1" w:styleId="Ref0">
    <w:name w:val="Ref"/>
    <w:basedOn w:val="abst"/>
    <w:rsid w:val="001037E2"/>
    <w:pPr>
      <w:spacing w:before="0"/>
      <w:ind w:left="284" w:right="284" w:hanging="284"/>
    </w:pPr>
    <w:rPr>
      <w:i/>
    </w:rPr>
  </w:style>
  <w:style w:type="paragraph" w:customStyle="1" w:styleId="foot">
    <w:name w:val="foot"/>
    <w:basedOn w:val="abst"/>
    <w:link w:val="footChar1"/>
    <w:rsid w:val="001037E2"/>
    <w:pPr>
      <w:tabs>
        <w:tab w:val="right" w:pos="10206"/>
      </w:tabs>
      <w:spacing w:before="0"/>
    </w:pPr>
    <w:rPr>
      <w:rFonts w:ascii="Arial" w:hAnsi="Arial" w:cs="Yagut"/>
      <w:bCs w:val="0"/>
      <w:sz w:val="16"/>
      <w:szCs w:val="18"/>
    </w:rPr>
  </w:style>
  <w:style w:type="paragraph" w:customStyle="1" w:styleId="head">
    <w:name w:val="head"/>
    <w:basedOn w:val="abst"/>
    <w:autoRedefine/>
    <w:rsid w:val="00954D6D"/>
    <w:pPr>
      <w:tabs>
        <w:tab w:val="right" w:pos="9639"/>
      </w:tabs>
      <w:spacing w:before="0"/>
    </w:pPr>
    <w:rPr>
      <w:rFonts w:cs="B Nazanin"/>
      <w:bCs w:val="0"/>
      <w:sz w:val="32"/>
      <w:szCs w:val="32"/>
      <w:lang w:bidi="fa-IR"/>
    </w:rPr>
  </w:style>
  <w:style w:type="paragraph" w:customStyle="1" w:styleId="table">
    <w:name w:val="table"/>
    <w:basedOn w:val="abst"/>
    <w:link w:val="tableChar1"/>
    <w:rsid w:val="001037E2"/>
    <w:pPr>
      <w:spacing w:before="0"/>
      <w:jc w:val="center"/>
    </w:pPr>
    <w:rPr>
      <w:rFonts w:ascii="Bookman Old Style" w:hAnsi="Bookman Old Style"/>
    </w:rPr>
  </w:style>
  <w:style w:type="paragraph" w:customStyle="1" w:styleId="onvan">
    <w:name w:val="onvan"/>
    <w:basedOn w:val="abst"/>
    <w:rsid w:val="001037E2"/>
    <w:pPr>
      <w:adjustRightInd w:val="0"/>
      <w:spacing w:before="0"/>
    </w:pPr>
    <w:rPr>
      <w:rFonts w:ascii="Times" w:hAnsi="Times"/>
      <w:i/>
      <w:sz w:val="28"/>
      <w:u w:val="double"/>
    </w:rPr>
  </w:style>
  <w:style w:type="character" w:styleId="Hyperlink">
    <w:name w:val="Hyperlink"/>
    <w:basedOn w:val="DefaultParagraphFont"/>
    <w:rsid w:val="001037E2"/>
    <w:rPr>
      <w:color w:val="0000FF"/>
      <w:u w:val="single"/>
    </w:rPr>
  </w:style>
  <w:style w:type="paragraph" w:styleId="List">
    <w:name w:val="List"/>
    <w:basedOn w:val="Normal"/>
    <w:rsid w:val="001037E2"/>
    <w:pPr>
      <w:widowControl w:val="0"/>
      <w:autoSpaceDE w:val="0"/>
      <w:autoSpaceDN w:val="0"/>
      <w:bidi w:val="0"/>
      <w:adjustRightInd w:val="0"/>
      <w:ind w:left="283" w:hanging="283"/>
    </w:pPr>
    <w:rPr>
      <w:rFonts w:cs="Traditional Arabic"/>
      <w:szCs w:val="28"/>
    </w:rPr>
  </w:style>
  <w:style w:type="paragraph" w:styleId="ListContinue">
    <w:name w:val="List Continue"/>
    <w:basedOn w:val="Normal"/>
    <w:rsid w:val="001037E2"/>
    <w:pPr>
      <w:widowControl w:val="0"/>
      <w:autoSpaceDE w:val="0"/>
      <w:autoSpaceDN w:val="0"/>
      <w:bidi w:val="0"/>
      <w:adjustRightInd w:val="0"/>
      <w:spacing w:after="120"/>
      <w:ind w:left="283"/>
    </w:pPr>
    <w:rPr>
      <w:rFonts w:cs="Traditional Arabic"/>
      <w:szCs w:val="28"/>
    </w:rPr>
  </w:style>
  <w:style w:type="paragraph" w:styleId="Title">
    <w:name w:val="Title"/>
    <w:basedOn w:val="Normal"/>
    <w:qFormat/>
    <w:rsid w:val="001037E2"/>
    <w:pPr>
      <w:widowControl w:val="0"/>
      <w:autoSpaceDE w:val="0"/>
      <w:autoSpaceDN w:val="0"/>
      <w:bidi w:val="0"/>
      <w:adjustRightInd w:val="0"/>
      <w:spacing w:before="240" w:after="60"/>
      <w:jc w:val="center"/>
      <w:outlineLvl w:val="0"/>
    </w:pPr>
    <w:rPr>
      <w:rFonts w:ascii="Arial" w:hAnsi="Arial" w:cs="Traditional Arabic"/>
      <w:b/>
      <w:bCs/>
      <w:kern w:val="28"/>
      <w:sz w:val="32"/>
      <w:szCs w:val="38"/>
    </w:rPr>
  </w:style>
  <w:style w:type="paragraph" w:styleId="Subtitle">
    <w:name w:val="Subtitle"/>
    <w:basedOn w:val="Normal"/>
    <w:qFormat/>
    <w:rsid w:val="001037E2"/>
    <w:pPr>
      <w:widowControl w:val="0"/>
      <w:autoSpaceDE w:val="0"/>
      <w:autoSpaceDN w:val="0"/>
      <w:bidi w:val="0"/>
      <w:adjustRightInd w:val="0"/>
      <w:spacing w:after="60"/>
      <w:jc w:val="center"/>
      <w:outlineLvl w:val="1"/>
    </w:pPr>
    <w:rPr>
      <w:rFonts w:ascii="Arial" w:hAnsi="Arial" w:cs="Traditional Arabic"/>
      <w:szCs w:val="28"/>
    </w:rPr>
  </w:style>
  <w:style w:type="paragraph" w:styleId="BodyTextIndent2">
    <w:name w:val="Body Text Indent 2"/>
    <w:basedOn w:val="Normal"/>
    <w:rsid w:val="001037E2"/>
    <w:pPr>
      <w:bidi w:val="0"/>
      <w:spacing w:after="120" w:line="480" w:lineRule="auto"/>
      <w:ind w:left="360"/>
    </w:pPr>
  </w:style>
  <w:style w:type="paragraph" w:styleId="BodyTextIndent">
    <w:name w:val="Body Text Indent"/>
    <w:basedOn w:val="Normal"/>
    <w:rsid w:val="001037E2"/>
    <w:pPr>
      <w:bidi w:val="0"/>
      <w:ind w:left="170" w:hanging="170"/>
      <w:jc w:val="lowKashida"/>
    </w:pPr>
    <w:rPr>
      <w:i/>
      <w:iCs/>
      <w:sz w:val="20"/>
      <w:szCs w:val="20"/>
    </w:rPr>
  </w:style>
  <w:style w:type="character" w:customStyle="1" w:styleId="CharChar">
    <w:name w:val="Char Char"/>
    <w:basedOn w:val="DefaultParagraphFont"/>
    <w:rsid w:val="001037E2"/>
    <w:rPr>
      <w:b/>
      <w:bCs/>
      <w:sz w:val="32"/>
      <w:szCs w:val="32"/>
      <w:lang w:val="en-US" w:eastAsia="en-US" w:bidi="ar-SA"/>
    </w:rPr>
  </w:style>
  <w:style w:type="character" w:customStyle="1" w:styleId="abstChar">
    <w:name w:val="abst Char"/>
    <w:basedOn w:val="CharChar"/>
    <w:rsid w:val="001037E2"/>
    <w:rPr>
      <w:szCs w:val="28"/>
    </w:rPr>
  </w:style>
  <w:style w:type="character" w:customStyle="1" w:styleId="tableChar">
    <w:name w:val="table Char"/>
    <w:basedOn w:val="abstChar"/>
    <w:rsid w:val="001037E2"/>
    <w:rPr>
      <w:rFonts w:ascii="Bookman Old Style" w:hAnsi="Bookman Old Style"/>
    </w:rPr>
  </w:style>
  <w:style w:type="character" w:customStyle="1" w:styleId="footChar">
    <w:name w:val="foot Char"/>
    <w:basedOn w:val="abstChar"/>
    <w:rsid w:val="001037E2"/>
    <w:rPr>
      <w:rFonts w:ascii="Arial" w:hAnsi="Arial" w:cs="Yagut"/>
      <w:sz w:val="16"/>
      <w:szCs w:val="18"/>
    </w:rPr>
  </w:style>
  <w:style w:type="paragraph" w:styleId="BlockText">
    <w:name w:val="Block Text"/>
    <w:basedOn w:val="Normal"/>
    <w:rsid w:val="001037E2"/>
    <w:pPr>
      <w:bidi w:val="0"/>
      <w:ind w:left="-540" w:right="-514"/>
    </w:pPr>
    <w:rPr>
      <w:b/>
      <w:bCs/>
      <w:sz w:val="28"/>
      <w:szCs w:val="28"/>
      <w:lang w:bidi="fa-IR"/>
    </w:rPr>
  </w:style>
  <w:style w:type="paragraph" w:styleId="PlainText">
    <w:name w:val="Plain Text"/>
    <w:basedOn w:val="Normal"/>
    <w:rsid w:val="001037E2"/>
    <w:pPr>
      <w:bidi w:val="0"/>
    </w:pPr>
    <w:rPr>
      <w:rFonts w:ascii="Courier New" w:hAnsi="Courier New" w:cs="Courier New"/>
      <w:sz w:val="20"/>
      <w:szCs w:val="20"/>
      <w:lang w:bidi="fa-IR"/>
    </w:rPr>
  </w:style>
  <w:style w:type="character" w:customStyle="1" w:styleId="maintextleft">
    <w:name w:val="maintextleft"/>
    <w:basedOn w:val="DefaultParagraphFont"/>
    <w:rsid w:val="001037E2"/>
  </w:style>
  <w:style w:type="character" w:customStyle="1" w:styleId="maintextbldleft">
    <w:name w:val="maintextbldleft"/>
    <w:basedOn w:val="DefaultParagraphFont"/>
    <w:rsid w:val="001037E2"/>
  </w:style>
  <w:style w:type="paragraph" w:styleId="NormalWeb">
    <w:name w:val="Normal (Web)"/>
    <w:basedOn w:val="Normal"/>
    <w:rsid w:val="001037E2"/>
    <w:pPr>
      <w:bidi w:val="0"/>
      <w:spacing w:before="100" w:beforeAutospacing="1" w:after="100" w:afterAutospacing="1"/>
    </w:pPr>
    <w:rPr>
      <w:lang w:bidi="fa-IR"/>
    </w:rPr>
  </w:style>
  <w:style w:type="character" w:styleId="FollowedHyperlink">
    <w:name w:val="FollowedHyperlink"/>
    <w:basedOn w:val="DefaultParagraphFont"/>
    <w:rsid w:val="001037E2"/>
    <w:rPr>
      <w:color w:val="800080"/>
      <w:u w:val="single"/>
    </w:rPr>
  </w:style>
  <w:style w:type="character" w:customStyle="1" w:styleId="matnChar">
    <w:name w:val="matn Char"/>
    <w:basedOn w:val="abstChar"/>
    <w:rsid w:val="001037E2"/>
    <w:rPr>
      <w:rFonts w:ascii="Book Antiqua" w:hAnsi="Book Antiqua" w:cs="Zar"/>
      <w:sz w:val="22"/>
      <w:szCs w:val="26"/>
    </w:rPr>
  </w:style>
  <w:style w:type="character" w:customStyle="1" w:styleId="HeaderChar">
    <w:name w:val="Header Char"/>
    <w:basedOn w:val="DefaultParagraphFont"/>
    <w:rsid w:val="001037E2"/>
    <w:rPr>
      <w:szCs w:val="24"/>
      <w:lang w:val="en-US" w:eastAsia="en-US" w:bidi="ar-SA"/>
    </w:rPr>
  </w:style>
  <w:style w:type="character" w:styleId="FootnoteReference">
    <w:name w:val="footnote reference"/>
    <w:basedOn w:val="DefaultParagraphFont"/>
    <w:semiHidden/>
    <w:rsid w:val="0059163B"/>
    <w:rPr>
      <w:vertAlign w:val="superscript"/>
    </w:rPr>
  </w:style>
  <w:style w:type="paragraph" w:styleId="BodyTextIndent3">
    <w:name w:val="Body Text Indent 3"/>
    <w:basedOn w:val="Normal"/>
    <w:rsid w:val="001037E2"/>
    <w:pPr>
      <w:bidi w:val="0"/>
      <w:spacing w:line="480" w:lineRule="auto"/>
      <w:ind w:firstLine="720"/>
      <w:jc w:val="lowKashida"/>
    </w:pPr>
    <w:rPr>
      <w:color w:val="000000"/>
    </w:rPr>
  </w:style>
  <w:style w:type="paragraph" w:customStyle="1" w:styleId="references">
    <w:name w:val="references"/>
    <w:basedOn w:val="Normal"/>
    <w:rsid w:val="001037E2"/>
    <w:pPr>
      <w:bidi w:val="0"/>
      <w:spacing w:before="100" w:beforeAutospacing="1" w:after="100" w:afterAutospacing="1"/>
    </w:pPr>
    <w:rPr>
      <w:lang w:bidi="fa-IR"/>
    </w:rPr>
  </w:style>
  <w:style w:type="character" w:customStyle="1" w:styleId="indent">
    <w:name w:val="indent"/>
    <w:basedOn w:val="DefaultParagraphFont"/>
    <w:rsid w:val="001037E2"/>
  </w:style>
  <w:style w:type="paragraph" w:customStyle="1" w:styleId="text">
    <w:name w:val="text"/>
    <w:basedOn w:val="Normal"/>
    <w:rsid w:val="001037E2"/>
    <w:pPr>
      <w:bidi w:val="0"/>
      <w:spacing w:before="100" w:beforeAutospacing="1" w:after="100" w:afterAutospacing="1"/>
    </w:pPr>
    <w:rPr>
      <w:lang w:bidi="fa-IR"/>
    </w:rPr>
  </w:style>
  <w:style w:type="paragraph" w:customStyle="1" w:styleId="abstract">
    <w:name w:val="abstract"/>
    <w:basedOn w:val="Normal"/>
    <w:link w:val="abstractChar"/>
    <w:rsid w:val="003C03BD"/>
    <w:pPr>
      <w:bidi w:val="0"/>
      <w:spacing w:before="120"/>
      <w:jc w:val="both"/>
    </w:pPr>
    <w:rPr>
      <w:sz w:val="20"/>
      <w:szCs w:val="20"/>
      <w:lang w:bidi="fa-IR"/>
    </w:rPr>
  </w:style>
  <w:style w:type="character" w:customStyle="1" w:styleId="it">
    <w:name w:val="it"/>
    <w:basedOn w:val="DefaultParagraphFont"/>
    <w:rsid w:val="001037E2"/>
  </w:style>
  <w:style w:type="paragraph" w:styleId="FootnoteText">
    <w:name w:val="footnote text"/>
    <w:basedOn w:val="Normal"/>
    <w:semiHidden/>
    <w:rsid w:val="0059163B"/>
    <w:rPr>
      <w:rFonts w:cs="Traditional Arabic"/>
      <w:noProof/>
      <w:sz w:val="20"/>
      <w:szCs w:val="20"/>
    </w:rPr>
  </w:style>
  <w:style w:type="paragraph" w:customStyle="1" w:styleId="seri">
    <w:name w:val="seri"/>
    <w:basedOn w:val="abst"/>
    <w:rsid w:val="00E91C5C"/>
    <w:pPr>
      <w:spacing w:before="0"/>
      <w:jc w:val="right"/>
    </w:pPr>
    <w:rPr>
      <w:rFonts w:ascii="Futura Md BT" w:hAnsi="Futura Md BT" w:cs="Tahoma"/>
      <w:szCs w:val="20"/>
      <w:u w:val="single"/>
    </w:rPr>
  </w:style>
  <w:style w:type="table" w:styleId="TableGrid">
    <w:name w:val="Table Grid"/>
    <w:basedOn w:val="TableNormal"/>
    <w:rsid w:val="004D2A05"/>
    <w:pPr>
      <w:widowControl w:val="0"/>
      <w:overflowPunct w:val="0"/>
      <w:autoSpaceDE w:val="0"/>
      <w:autoSpaceDN w:val="0"/>
      <w:adjustRightInd w:val="0"/>
      <w:textAlignment w:val="baseline"/>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link w:val="Header"/>
    <w:rsid w:val="003C5DBA"/>
    <w:rPr>
      <w:szCs w:val="24"/>
      <w:lang w:val="en-US" w:eastAsia="en-US" w:bidi="ar-SA"/>
    </w:rPr>
  </w:style>
  <w:style w:type="paragraph" w:customStyle="1" w:styleId="ref">
    <w:name w:val="ref"/>
    <w:basedOn w:val="Normal"/>
    <w:rsid w:val="00502EC9"/>
    <w:pPr>
      <w:numPr>
        <w:numId w:val="3"/>
      </w:numPr>
      <w:bidi w:val="0"/>
      <w:jc w:val="lowKashida"/>
    </w:pPr>
    <w:rPr>
      <w:sz w:val="20"/>
      <w:szCs w:val="20"/>
      <w:lang w:bidi="fa-IR"/>
    </w:rPr>
  </w:style>
  <w:style w:type="character" w:customStyle="1" w:styleId="BodyTextChar1">
    <w:name w:val="Body Text Char1"/>
    <w:basedOn w:val="DefaultParagraphFont"/>
    <w:link w:val="BodyText"/>
    <w:rsid w:val="003B4306"/>
    <w:rPr>
      <w:b/>
      <w:bCs/>
      <w:sz w:val="32"/>
      <w:szCs w:val="32"/>
      <w:lang w:val="en-US" w:eastAsia="en-US" w:bidi="ar-SA"/>
    </w:rPr>
  </w:style>
  <w:style w:type="character" w:customStyle="1" w:styleId="abstChar1">
    <w:name w:val="abst Char1"/>
    <w:basedOn w:val="BodyTextChar1"/>
    <w:link w:val="abst"/>
    <w:rsid w:val="003B4306"/>
    <w:rPr>
      <w:szCs w:val="28"/>
    </w:rPr>
  </w:style>
  <w:style w:type="character" w:customStyle="1" w:styleId="tableChar1">
    <w:name w:val="table Char1"/>
    <w:basedOn w:val="abstChar1"/>
    <w:link w:val="table"/>
    <w:rsid w:val="003B4306"/>
    <w:rPr>
      <w:rFonts w:ascii="Bookman Old Style" w:hAnsi="Bookman Old Style"/>
    </w:rPr>
  </w:style>
  <w:style w:type="character" w:styleId="Emphasis">
    <w:name w:val="Emphasis"/>
    <w:basedOn w:val="DefaultParagraphFont"/>
    <w:qFormat/>
    <w:rsid w:val="00DF4CF0"/>
    <w:rPr>
      <w:i/>
      <w:iCs/>
    </w:rPr>
  </w:style>
  <w:style w:type="character" w:customStyle="1" w:styleId="fulltext-it1">
    <w:name w:val="fulltext-it1"/>
    <w:basedOn w:val="DefaultParagraphFont"/>
    <w:rsid w:val="00DF4CF0"/>
    <w:rPr>
      <w:i/>
      <w:iCs/>
    </w:rPr>
  </w:style>
  <w:style w:type="character" w:styleId="Strong">
    <w:name w:val="Strong"/>
    <w:basedOn w:val="DefaultParagraphFont"/>
    <w:qFormat/>
    <w:rsid w:val="00DF4CF0"/>
    <w:rPr>
      <w:b/>
      <w:bCs/>
    </w:rPr>
  </w:style>
  <w:style w:type="paragraph" w:styleId="CommentText">
    <w:name w:val="annotation text"/>
    <w:basedOn w:val="Normal"/>
    <w:semiHidden/>
    <w:rsid w:val="00E02238"/>
    <w:rPr>
      <w:sz w:val="20"/>
      <w:szCs w:val="20"/>
    </w:rPr>
  </w:style>
  <w:style w:type="paragraph" w:styleId="CommentSubject">
    <w:name w:val="annotation subject"/>
    <w:basedOn w:val="CommentText"/>
    <w:next w:val="CommentText"/>
    <w:semiHidden/>
    <w:rsid w:val="00E02238"/>
    <w:pPr>
      <w:bidi w:val="0"/>
    </w:pPr>
    <w:rPr>
      <w:rFonts w:eastAsia="SimSun"/>
      <w:b/>
      <w:bCs/>
      <w:lang w:eastAsia="zh-CN" w:bidi="fa-IR"/>
    </w:rPr>
  </w:style>
  <w:style w:type="character" w:styleId="CommentReference">
    <w:name w:val="annotation reference"/>
    <w:basedOn w:val="DefaultParagraphFont"/>
    <w:semiHidden/>
    <w:rsid w:val="00DD3354"/>
    <w:rPr>
      <w:sz w:val="16"/>
      <w:szCs w:val="16"/>
    </w:rPr>
  </w:style>
  <w:style w:type="table" w:styleId="TableList3">
    <w:name w:val="Table List 3"/>
    <w:basedOn w:val="TableNormal"/>
    <w:rsid w:val="001448F2"/>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odyTextChar">
    <w:name w:val="Body Text Char"/>
    <w:basedOn w:val="DefaultParagraphFont"/>
    <w:rsid w:val="00974CE6"/>
    <w:rPr>
      <w:b/>
      <w:bCs/>
      <w:sz w:val="32"/>
      <w:szCs w:val="32"/>
      <w:lang w:val="en-US" w:eastAsia="en-US" w:bidi="ar-SA"/>
    </w:rPr>
  </w:style>
  <w:style w:type="character" w:customStyle="1" w:styleId="footChar1">
    <w:name w:val="foot Char1"/>
    <w:basedOn w:val="abstChar1"/>
    <w:link w:val="foot"/>
    <w:rsid w:val="003A5987"/>
    <w:rPr>
      <w:rFonts w:ascii="Arial" w:hAnsi="Arial" w:cs="Yagut"/>
      <w:sz w:val="16"/>
      <w:szCs w:val="18"/>
    </w:rPr>
  </w:style>
  <w:style w:type="paragraph" w:styleId="Caption">
    <w:name w:val="caption"/>
    <w:basedOn w:val="Normal"/>
    <w:next w:val="Normal"/>
    <w:qFormat/>
    <w:rsid w:val="00B126AE"/>
    <w:pPr>
      <w:suppressAutoHyphens/>
      <w:bidi w:val="0"/>
      <w:jc w:val="both"/>
    </w:pPr>
    <w:rPr>
      <w:sz w:val="28"/>
      <w:szCs w:val="28"/>
      <w:lang w:eastAsia="ar-SA"/>
    </w:rPr>
  </w:style>
  <w:style w:type="character" w:customStyle="1" w:styleId="matnChar1">
    <w:name w:val="matn Char1"/>
    <w:basedOn w:val="abstChar1"/>
    <w:link w:val="matn"/>
    <w:rsid w:val="00FE6C34"/>
    <w:rPr>
      <w:rFonts w:ascii="Book Antiqua" w:hAnsi="Book Antiqua" w:cs="Zar"/>
      <w:sz w:val="22"/>
      <w:szCs w:val="26"/>
    </w:rPr>
  </w:style>
  <w:style w:type="paragraph" w:customStyle="1" w:styleId="Index">
    <w:name w:val="Index"/>
    <w:basedOn w:val="Normal"/>
    <w:rsid w:val="002C7CD4"/>
    <w:pPr>
      <w:suppressLineNumbers/>
      <w:suppressAutoHyphens/>
      <w:bidi w:val="0"/>
    </w:pPr>
    <w:rPr>
      <w:rFonts w:cs="Tahoma"/>
      <w:lang w:eastAsia="ar-SA"/>
    </w:rPr>
  </w:style>
  <w:style w:type="paragraph" w:customStyle="1" w:styleId="TableHeading">
    <w:name w:val="Table Heading"/>
    <w:basedOn w:val="Normal"/>
    <w:rsid w:val="00B04D31"/>
    <w:pPr>
      <w:suppressLineNumbers/>
      <w:suppressAutoHyphens/>
      <w:bidi w:val="0"/>
      <w:jc w:val="center"/>
    </w:pPr>
    <w:rPr>
      <w:b/>
      <w:bCs/>
      <w:i/>
      <w:iCs/>
      <w:lang w:eastAsia="ar-SA"/>
    </w:rPr>
  </w:style>
  <w:style w:type="paragraph" w:customStyle="1" w:styleId="TableContents">
    <w:name w:val="Table Contents"/>
    <w:basedOn w:val="Normal"/>
    <w:rsid w:val="00B04D31"/>
    <w:pPr>
      <w:suppressLineNumbers/>
      <w:suppressAutoHyphens/>
      <w:bidi w:val="0"/>
    </w:pPr>
    <w:rPr>
      <w:lang w:eastAsia="ar-SA"/>
    </w:rPr>
  </w:style>
  <w:style w:type="table" w:styleId="TableColumns5">
    <w:name w:val="Table Columns 5"/>
    <w:basedOn w:val="TableNormal"/>
    <w:rsid w:val="003B1C65"/>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volume">
    <w:name w:val="volume"/>
    <w:basedOn w:val="DefaultParagraphFont"/>
    <w:rsid w:val="00345ADF"/>
  </w:style>
  <w:style w:type="paragraph" w:customStyle="1" w:styleId="fulltext-textfulltext-indent">
    <w:name w:val="fulltext-text fulltext-indent"/>
    <w:basedOn w:val="Normal"/>
    <w:rsid w:val="00F404C2"/>
    <w:pPr>
      <w:bidi w:val="0"/>
      <w:spacing w:before="100" w:beforeAutospacing="1" w:after="100" w:afterAutospacing="1"/>
    </w:pPr>
  </w:style>
  <w:style w:type="character" w:customStyle="1" w:styleId="bibrecord-highlight">
    <w:name w:val="bibrecord-highlight"/>
    <w:basedOn w:val="DefaultParagraphFont"/>
    <w:rsid w:val="00235416"/>
  </w:style>
  <w:style w:type="character" w:customStyle="1" w:styleId="fulltext-it">
    <w:name w:val="fulltext-it"/>
    <w:basedOn w:val="DefaultParagraphFont"/>
    <w:rsid w:val="00F404C2"/>
  </w:style>
  <w:style w:type="character" w:customStyle="1" w:styleId="Absatz-Standardschriftart">
    <w:name w:val="Absatz-Standardschriftart"/>
    <w:rsid w:val="003D2453"/>
  </w:style>
  <w:style w:type="paragraph" w:customStyle="1" w:styleId="WW-Default">
    <w:name w:val="WW-Default"/>
    <w:rsid w:val="00FA55B6"/>
    <w:pPr>
      <w:widowControl w:val="0"/>
      <w:suppressAutoHyphens/>
      <w:autoSpaceDE w:val="0"/>
    </w:pPr>
    <w:rPr>
      <w:rFonts w:ascii="PKDMK D+ Macmillan" w:hAnsi="PKDMK D+ Macmillan" w:cs="PKDMK D+ Macmillan"/>
      <w:color w:val="000000"/>
      <w:sz w:val="24"/>
      <w:szCs w:val="24"/>
      <w:lang w:val="tr-TR" w:eastAsia="ar-SA"/>
    </w:rPr>
  </w:style>
  <w:style w:type="character" w:customStyle="1" w:styleId="BalloonTextChar">
    <w:name w:val="Balloon Text Char"/>
    <w:basedOn w:val="DefaultParagraphFont"/>
    <w:uiPriority w:val="99"/>
    <w:rsid w:val="00FE72E9"/>
    <w:rPr>
      <w:rFonts w:ascii="Tahoma" w:hAnsi="Tahoma" w:cs="Tahoma"/>
      <w:sz w:val="16"/>
      <w:szCs w:val="16"/>
    </w:rPr>
  </w:style>
  <w:style w:type="character" w:customStyle="1" w:styleId="abstractChar">
    <w:name w:val="abstract Char"/>
    <w:basedOn w:val="DefaultParagraphFont"/>
    <w:link w:val="abstract"/>
    <w:rsid w:val="00B65789"/>
    <w:rPr>
      <w:lang w:val="en-US" w:eastAsia="en-US" w:bidi="fa-IR"/>
    </w:rPr>
  </w:style>
  <w:style w:type="paragraph" w:customStyle="1" w:styleId="photopicture">
    <w:name w:val="photo &amp; picture"/>
    <w:basedOn w:val="WW-Default"/>
    <w:rsid w:val="00F13F57"/>
    <w:pPr>
      <w:widowControl/>
      <w:tabs>
        <w:tab w:val="left" w:pos="709"/>
      </w:tabs>
      <w:autoSpaceDE/>
      <w:spacing w:after="200" w:line="276" w:lineRule="atLeast"/>
    </w:pPr>
    <w:rPr>
      <w:rFonts w:ascii="Calibri" w:eastAsia="DejaVu Sans" w:hAnsi="Calibri" w:cs="Calibri"/>
      <w:color w:val="00000A"/>
      <w:sz w:val="22"/>
      <w:szCs w:val="22"/>
      <w:lang w:val="en-US"/>
    </w:rPr>
  </w:style>
  <w:style w:type="paragraph" w:styleId="ListParagraph">
    <w:name w:val="List Paragraph"/>
    <w:basedOn w:val="Normal"/>
    <w:qFormat/>
    <w:rsid w:val="009A3635"/>
    <w:pPr>
      <w:bidi w:val="0"/>
      <w:spacing w:line="480" w:lineRule="auto"/>
      <w:ind w:left="720" w:firstLine="288"/>
      <w:contextualSpacing/>
      <w:jc w:val="both"/>
    </w:pPr>
    <w:rPr>
      <w:rFonts w:ascii="Arial" w:eastAsia="Calibri" w:hAnsi="Arial" w:cs="Arial"/>
      <w:szCs w:val="22"/>
    </w:rPr>
  </w:style>
  <w:style w:type="paragraph" w:customStyle="1" w:styleId="This">
    <w:name w:val="This"/>
    <w:basedOn w:val="Normal"/>
    <w:rsid w:val="009A3635"/>
    <w:pPr>
      <w:autoSpaceDE w:val="0"/>
      <w:autoSpaceDN w:val="0"/>
      <w:bidi w:val="0"/>
      <w:adjustRightInd w:val="0"/>
      <w:spacing w:line="480" w:lineRule="auto"/>
      <w:ind w:firstLine="288"/>
      <w:jc w:val="lowKashida"/>
    </w:pPr>
    <w:rPr>
      <w:rFonts w:ascii="Arial" w:hAnsi="Arial" w:cs="Arial"/>
      <w:lang w:bidi="fa-IR"/>
    </w:rPr>
  </w:style>
  <w:style w:type="character" w:customStyle="1" w:styleId="FooterChar">
    <w:name w:val="Footer Char"/>
    <w:basedOn w:val="DefaultParagraphFont"/>
    <w:link w:val="Footer"/>
    <w:uiPriority w:val="99"/>
    <w:rsid w:val="00322F1E"/>
    <w:rPr>
      <w:szCs w:val="24"/>
    </w:rPr>
  </w:style>
</w:styles>
</file>

<file path=word/webSettings.xml><?xml version="1.0" encoding="utf-8"?>
<w:webSettings xmlns:r="http://schemas.openxmlformats.org/officeDocument/2006/relationships" xmlns:w="http://schemas.openxmlformats.org/wordprocessingml/2006/main">
  <w:divs>
    <w:div w:id="1753430750">
      <w:bodyDiv w:val="1"/>
      <w:marLeft w:val="0"/>
      <w:marRight w:val="0"/>
      <w:marTop w:val="0"/>
      <w:marBottom w:val="0"/>
      <w:divBdr>
        <w:top w:val="none" w:sz="0" w:space="0" w:color="auto"/>
        <w:left w:val="none" w:sz="0" w:space="0" w:color="auto"/>
        <w:bottom w:val="none" w:sz="0" w:space="0" w:color="auto"/>
        <w:right w:val="none" w:sz="0" w:space="0" w:color="auto"/>
      </w:divBdr>
      <w:divsChild>
        <w:div w:id="338966411">
          <w:marLeft w:val="240"/>
          <w:marRight w:val="240"/>
          <w:marTop w:val="0"/>
          <w:marBottom w:val="240"/>
          <w:divBdr>
            <w:top w:val="none" w:sz="0" w:space="0" w:color="auto"/>
            <w:left w:val="none" w:sz="0" w:space="0" w:color="auto"/>
            <w:bottom w:val="none" w:sz="0" w:space="0" w:color="auto"/>
            <w:right w:val="double" w:sz="2" w:space="10" w:color="AC6A1B"/>
          </w:divBdr>
          <w:divsChild>
            <w:div w:id="621037180">
              <w:marLeft w:val="0"/>
              <w:marRight w:val="0"/>
              <w:marTop w:val="0"/>
              <w:marBottom w:val="0"/>
              <w:divBdr>
                <w:top w:val="dotted" w:sz="12" w:space="6" w:color="000000"/>
                <w:left w:val="none" w:sz="0" w:space="0" w:color="auto"/>
                <w:bottom w:val="none" w:sz="0" w:space="0" w:color="auto"/>
                <w:right w:val="none" w:sz="0" w:space="0" w:color="auto"/>
              </w:divBdr>
              <w:divsChild>
                <w:div w:id="6285105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Title: Health development administration:</vt:lpstr>
    </vt:vector>
  </TitlesOfParts>
  <Company>university</Company>
  <LinksUpToDate>false</LinksUpToDate>
  <CharactersWithSpaces>29391</CharactersWithSpaces>
  <SharedDoc>false</SharedDoc>
  <HLinks>
    <vt:vector size="6" baseType="variant">
      <vt:variant>
        <vt:i4>4063279</vt:i4>
      </vt:variant>
      <vt:variant>
        <vt:i4>6</vt:i4>
      </vt:variant>
      <vt:variant>
        <vt:i4>0</vt:i4>
      </vt:variant>
      <vt:variant>
        <vt:i4>5</vt:i4>
      </vt:variant>
      <vt:variant>
        <vt:lpwstr>mailto:khajehkazemi_razieh@yahoo.com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Health development administration:</dc:title>
  <dc:subject/>
  <dc:creator>internet</dc:creator>
  <cp:keywords/>
  <dc:description/>
  <cp:lastModifiedBy>MRT</cp:lastModifiedBy>
  <cp:revision>21</cp:revision>
  <cp:lastPrinted>2011-02-19T18:32:00Z</cp:lastPrinted>
  <dcterms:created xsi:type="dcterms:W3CDTF">2011-02-12T07:13:00Z</dcterms:created>
  <dcterms:modified xsi:type="dcterms:W3CDTF">2011-03-26T09:40:00Z</dcterms:modified>
</cp:coreProperties>
</file>